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9B6C" w14:textId="77777777" w:rsidR="003B6869" w:rsidRDefault="003B6869" w:rsidP="00A1208E"/>
    <w:p w14:paraId="50C51F75" w14:textId="29C383E4" w:rsidR="003F1D3F" w:rsidRDefault="003F1D3F" w:rsidP="003F1D3F">
      <w:pPr>
        <w:pStyle w:val="Header"/>
        <w:jc w:val="center"/>
        <w:rPr>
          <w:b/>
          <w:bCs/>
        </w:rPr>
      </w:pPr>
      <w:proofErr w:type="spellStart"/>
      <w:r w:rsidRPr="00D373FE">
        <w:rPr>
          <w:b/>
          <w:bCs/>
        </w:rPr>
        <w:t>Jeemp</w:t>
      </w:r>
      <w:proofErr w:type="spellEnd"/>
      <w:r w:rsidRPr="00D373FE">
        <w:rPr>
          <w:b/>
          <w:bCs/>
        </w:rPr>
        <w:t xml:space="preserve"> Farms Analysis</w:t>
      </w:r>
    </w:p>
    <w:p w14:paraId="4CA78244" w14:textId="77777777" w:rsidR="00D373FE" w:rsidRPr="00D373FE" w:rsidRDefault="00D373FE" w:rsidP="003F1D3F">
      <w:pPr>
        <w:pStyle w:val="Header"/>
        <w:jc w:val="center"/>
        <w:rPr>
          <w:b/>
          <w:bCs/>
        </w:rPr>
      </w:pPr>
    </w:p>
    <w:p w14:paraId="4AA98CB0" w14:textId="1C35D7AE" w:rsidR="00A3053D" w:rsidRDefault="003B6869" w:rsidP="003B6869">
      <w:pPr>
        <w:ind w:firstLine="720"/>
      </w:pPr>
      <w:r>
        <w:t xml:space="preserve">Our team has taken the </w:t>
      </w:r>
      <w:r w:rsidR="00557F18">
        <w:t>data</w:t>
      </w:r>
      <w:r>
        <w:t xml:space="preserve"> provided by Mr. </w:t>
      </w:r>
      <w:proofErr w:type="spellStart"/>
      <w:r>
        <w:t>Beridon</w:t>
      </w:r>
      <w:proofErr w:type="spellEnd"/>
      <w:r>
        <w:t xml:space="preserve"> to perform a side by side analysis using both traditional and </w:t>
      </w:r>
      <w:r w:rsidR="00D60BD7">
        <w:t>activity-based</w:t>
      </w:r>
      <w:r>
        <w:t xml:space="preserve"> costing. The data </w:t>
      </w:r>
      <w:r w:rsidR="00FD09C0">
        <w:t>showed</w:t>
      </w:r>
      <w:r>
        <w:t xml:space="preserve"> that there are discrepancies between the two costing methods </w:t>
      </w:r>
      <w:r w:rsidR="00557F18">
        <w:t>for</w:t>
      </w:r>
      <w:r>
        <w:t xml:space="preserve"> manufacturing overhead and product margins. The manufacturing overhead is higher for the trees </w:t>
      </w:r>
      <w:r w:rsidR="006B4B69">
        <w:t>when</w:t>
      </w:r>
      <w:r>
        <w:t xml:space="preserve"> </w:t>
      </w:r>
      <w:r w:rsidR="006B4B69">
        <w:t xml:space="preserve">using </w:t>
      </w:r>
      <w:r>
        <w:t xml:space="preserve">traditional costing. </w:t>
      </w:r>
      <w:r w:rsidR="00BE41EB">
        <w:t xml:space="preserve"> </w:t>
      </w:r>
      <w:r>
        <w:t xml:space="preserve">$78,309.46 of manufacturing overhead that was originally allocated to sod is </w:t>
      </w:r>
      <w:proofErr w:type="gramStart"/>
      <w:r>
        <w:t>actual</w:t>
      </w:r>
      <w:r w:rsidR="001E7408">
        <w:t>ly</w:t>
      </w:r>
      <w:r>
        <w:t xml:space="preserve"> </w:t>
      </w:r>
      <w:r w:rsidR="001E7408">
        <w:t>assigned</w:t>
      </w:r>
      <w:proofErr w:type="gramEnd"/>
      <w:r>
        <w:t xml:space="preserve"> to the trees</w:t>
      </w:r>
      <w:r w:rsidR="001E7408">
        <w:t xml:space="preserve"> under activity-based costing</w:t>
      </w:r>
      <w:r>
        <w:t>.</w:t>
      </w:r>
      <w:r w:rsidR="001E7408">
        <w:t xml:space="preserve">  This affected the product margin of the two products under activity-based costing.</w:t>
      </w:r>
      <w:r>
        <w:t xml:space="preserve"> </w:t>
      </w:r>
    </w:p>
    <w:p w14:paraId="12FB96F3" w14:textId="77777777" w:rsidR="00BE41EB" w:rsidRDefault="00BE41EB" w:rsidP="003B6869">
      <w:pPr>
        <w:ind w:firstLine="720"/>
      </w:pPr>
    </w:p>
    <w:p w14:paraId="4709FC8F" w14:textId="6D140952" w:rsidR="003B6869" w:rsidRDefault="003B6869" w:rsidP="003B6869">
      <w:pPr>
        <w:ind w:firstLine="720"/>
      </w:pPr>
      <w:r>
        <w:t xml:space="preserve">When using the traditional costing method, it appears pecan trees are significantly more valuable to </w:t>
      </w:r>
      <w:proofErr w:type="spellStart"/>
      <w:r>
        <w:t>Jeemp</w:t>
      </w:r>
      <w:proofErr w:type="spellEnd"/>
      <w:r>
        <w:t xml:space="preserve"> Farms than sod.  However, the traditional costing method skews the results by using a predetermined overhead rate to calculate the manufacturing overhead </w:t>
      </w:r>
      <w:r w:rsidR="00FD09C0">
        <w:t>for both products</w:t>
      </w:r>
      <w:r>
        <w:t xml:space="preserve">.  The predetermined overhead rate is calculated by taking the total overhead cost for both trees and sod and dividing it by the total estimated direct labor hours </w:t>
      </w:r>
      <w:r w:rsidR="00FD09C0">
        <w:t xml:space="preserve">for both products.  </w:t>
      </w:r>
      <w:r>
        <w:t xml:space="preserve">Because of the high number of units of sod produced, sod requires more labor hours than trees, so it appears that sod costs more to produce even though the direct labor rate per unit is lower for sod.  However, when using the </w:t>
      </w:r>
      <w:r w:rsidR="00D60BD7">
        <w:t>activity-based</w:t>
      </w:r>
      <w:r>
        <w:t xml:space="preserve"> costing system, the manufacturing overhead for sod is more accurately calculated, because the actual cost per labor hour for sod is used.  This gives a more accurate product margin</w:t>
      </w:r>
      <w:r w:rsidR="00FD09C0">
        <w:t xml:space="preserve"> calculation</w:t>
      </w:r>
      <w:r>
        <w:t>, because the overhead rate for sod is not comingled with costs for trees</w:t>
      </w:r>
      <w:r w:rsidR="00701534">
        <w:t>.</w:t>
      </w:r>
    </w:p>
    <w:p w14:paraId="3581555D" w14:textId="06C8E92D" w:rsidR="003B6869" w:rsidRDefault="003B6869" w:rsidP="003B6869">
      <w:pPr>
        <w:ind w:firstLine="720"/>
      </w:pPr>
    </w:p>
    <w:tbl>
      <w:tblPr>
        <w:tblW w:w="9927" w:type="dxa"/>
        <w:jc w:val="center"/>
        <w:tblLook w:val="04A0" w:firstRow="1" w:lastRow="0" w:firstColumn="1" w:lastColumn="0" w:noHBand="0" w:noVBand="1"/>
      </w:tblPr>
      <w:tblGrid>
        <w:gridCol w:w="2181"/>
        <w:gridCol w:w="1279"/>
        <w:gridCol w:w="1504"/>
        <w:gridCol w:w="243"/>
        <w:gridCol w:w="2162"/>
        <w:gridCol w:w="1279"/>
        <w:gridCol w:w="1279"/>
      </w:tblGrid>
      <w:tr w:rsidR="003B6869" w:rsidRPr="001D49F2" w14:paraId="37A720C7"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51761D74" w14:textId="77777777" w:rsidR="003B6869" w:rsidRPr="00FB042C" w:rsidRDefault="003B6869" w:rsidP="000F05C8">
            <w:pPr>
              <w:rPr>
                <w:rFonts w:asciiTheme="minorHAnsi" w:hAnsiTheme="minorHAnsi" w:cstheme="minorHAnsi"/>
                <w:b/>
                <w:bCs/>
                <w:sz w:val="18"/>
                <w:szCs w:val="18"/>
                <w:u w:val="single"/>
              </w:rPr>
            </w:pPr>
            <w:r w:rsidRPr="00FB042C">
              <w:rPr>
                <w:rFonts w:asciiTheme="minorHAnsi" w:hAnsiTheme="minorHAnsi" w:cstheme="minorHAnsi"/>
                <w:b/>
                <w:bCs/>
                <w:sz w:val="18"/>
                <w:szCs w:val="18"/>
                <w:u w:val="single"/>
              </w:rPr>
              <w:t>Traditional Costing:</w:t>
            </w:r>
          </w:p>
        </w:tc>
        <w:tc>
          <w:tcPr>
            <w:tcW w:w="1279" w:type="dxa"/>
            <w:tcBorders>
              <w:top w:val="nil"/>
              <w:left w:val="nil"/>
              <w:bottom w:val="nil"/>
              <w:right w:val="nil"/>
            </w:tcBorders>
            <w:shd w:val="clear" w:color="auto" w:fill="auto"/>
            <w:noWrap/>
            <w:hideMark/>
          </w:tcPr>
          <w:p w14:paraId="3B54DA56" w14:textId="77777777" w:rsidR="003B6869" w:rsidRPr="00FB042C" w:rsidRDefault="003B6869" w:rsidP="000F05C8">
            <w:pPr>
              <w:jc w:val="center"/>
              <w:rPr>
                <w:rFonts w:asciiTheme="minorHAnsi" w:hAnsiTheme="minorHAnsi" w:cstheme="minorHAnsi"/>
                <w:b/>
                <w:bCs/>
                <w:sz w:val="18"/>
                <w:szCs w:val="18"/>
                <w:u w:val="single"/>
              </w:rPr>
            </w:pPr>
            <w:r w:rsidRPr="00FB042C">
              <w:rPr>
                <w:rFonts w:asciiTheme="minorHAnsi" w:hAnsiTheme="minorHAnsi" w:cstheme="minorHAnsi"/>
                <w:sz w:val="18"/>
                <w:szCs w:val="18"/>
              </w:rPr>
              <w:t>Trees</w:t>
            </w:r>
          </w:p>
        </w:tc>
        <w:tc>
          <w:tcPr>
            <w:tcW w:w="1504" w:type="dxa"/>
            <w:tcBorders>
              <w:top w:val="nil"/>
              <w:left w:val="nil"/>
              <w:bottom w:val="nil"/>
              <w:right w:val="nil"/>
            </w:tcBorders>
            <w:shd w:val="clear" w:color="auto" w:fill="auto"/>
            <w:noWrap/>
            <w:hideMark/>
          </w:tcPr>
          <w:p w14:paraId="4148DDFF" w14:textId="77777777" w:rsidR="003B6869" w:rsidRPr="00FB042C" w:rsidRDefault="003B6869" w:rsidP="000F05C8">
            <w:pPr>
              <w:jc w:val="center"/>
              <w:rPr>
                <w:rFonts w:asciiTheme="minorHAnsi" w:hAnsiTheme="minorHAnsi" w:cstheme="minorHAnsi"/>
                <w:sz w:val="18"/>
                <w:szCs w:val="18"/>
              </w:rPr>
            </w:pPr>
            <w:r w:rsidRPr="00FB042C">
              <w:rPr>
                <w:rFonts w:asciiTheme="minorHAnsi" w:hAnsiTheme="minorHAnsi" w:cstheme="minorHAnsi"/>
                <w:sz w:val="18"/>
                <w:szCs w:val="18"/>
              </w:rPr>
              <w:t>Sod</w:t>
            </w:r>
          </w:p>
        </w:tc>
        <w:tc>
          <w:tcPr>
            <w:tcW w:w="243" w:type="dxa"/>
            <w:tcBorders>
              <w:top w:val="nil"/>
              <w:left w:val="nil"/>
              <w:bottom w:val="nil"/>
              <w:right w:val="nil"/>
            </w:tcBorders>
            <w:shd w:val="clear" w:color="auto" w:fill="auto"/>
            <w:noWrap/>
            <w:vAlign w:val="bottom"/>
            <w:hideMark/>
          </w:tcPr>
          <w:p w14:paraId="237967CA"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038F764C" w14:textId="77777777" w:rsidR="003B6869" w:rsidRPr="00FB042C" w:rsidRDefault="003B6869" w:rsidP="000F05C8">
            <w:pPr>
              <w:rPr>
                <w:rFonts w:asciiTheme="minorHAnsi" w:hAnsiTheme="minorHAnsi" w:cstheme="minorHAnsi"/>
                <w:b/>
                <w:bCs/>
                <w:color w:val="000000"/>
                <w:sz w:val="18"/>
                <w:szCs w:val="18"/>
                <w:u w:val="single"/>
              </w:rPr>
            </w:pPr>
            <w:r w:rsidRPr="00FB042C">
              <w:rPr>
                <w:rFonts w:asciiTheme="minorHAnsi" w:hAnsiTheme="minorHAnsi" w:cstheme="minorHAnsi"/>
                <w:b/>
                <w:bCs/>
                <w:color w:val="000000"/>
                <w:sz w:val="18"/>
                <w:szCs w:val="18"/>
                <w:u w:val="single"/>
              </w:rPr>
              <w:t xml:space="preserve">ABC Costing: </w:t>
            </w:r>
          </w:p>
        </w:tc>
        <w:tc>
          <w:tcPr>
            <w:tcW w:w="1279" w:type="dxa"/>
            <w:tcBorders>
              <w:top w:val="nil"/>
              <w:left w:val="nil"/>
              <w:bottom w:val="nil"/>
              <w:right w:val="nil"/>
            </w:tcBorders>
            <w:shd w:val="clear" w:color="auto" w:fill="auto"/>
            <w:noWrap/>
            <w:vAlign w:val="bottom"/>
            <w:hideMark/>
          </w:tcPr>
          <w:p w14:paraId="31B9E0C8" w14:textId="77777777" w:rsidR="003B6869" w:rsidRPr="00FB042C" w:rsidRDefault="003B6869" w:rsidP="000F05C8">
            <w:pPr>
              <w:jc w:val="center"/>
              <w:rPr>
                <w:rFonts w:asciiTheme="minorHAnsi" w:hAnsiTheme="minorHAnsi" w:cstheme="minorHAnsi"/>
                <w:color w:val="000000"/>
                <w:sz w:val="18"/>
                <w:szCs w:val="18"/>
              </w:rPr>
            </w:pPr>
            <w:r w:rsidRPr="00FB042C">
              <w:rPr>
                <w:rFonts w:asciiTheme="minorHAnsi" w:hAnsiTheme="minorHAnsi" w:cstheme="minorHAnsi"/>
                <w:color w:val="000000"/>
                <w:sz w:val="18"/>
                <w:szCs w:val="18"/>
              </w:rPr>
              <w:t>Trees</w:t>
            </w:r>
          </w:p>
        </w:tc>
        <w:tc>
          <w:tcPr>
            <w:tcW w:w="1279" w:type="dxa"/>
            <w:tcBorders>
              <w:top w:val="nil"/>
              <w:left w:val="nil"/>
              <w:bottom w:val="nil"/>
              <w:right w:val="nil"/>
            </w:tcBorders>
            <w:shd w:val="clear" w:color="auto" w:fill="auto"/>
            <w:noWrap/>
            <w:vAlign w:val="bottom"/>
            <w:hideMark/>
          </w:tcPr>
          <w:p w14:paraId="42F121B6" w14:textId="77777777" w:rsidR="003B6869" w:rsidRPr="00FB042C" w:rsidRDefault="003B6869" w:rsidP="000F05C8">
            <w:pPr>
              <w:jc w:val="center"/>
              <w:rPr>
                <w:rFonts w:asciiTheme="minorHAnsi" w:hAnsiTheme="minorHAnsi" w:cstheme="minorHAnsi"/>
                <w:color w:val="000000"/>
                <w:sz w:val="18"/>
                <w:szCs w:val="18"/>
              </w:rPr>
            </w:pPr>
            <w:r w:rsidRPr="00FB042C">
              <w:rPr>
                <w:rFonts w:asciiTheme="minorHAnsi" w:hAnsiTheme="minorHAnsi" w:cstheme="minorHAnsi"/>
                <w:color w:val="000000"/>
                <w:sz w:val="18"/>
                <w:szCs w:val="18"/>
              </w:rPr>
              <w:t>Sod</w:t>
            </w:r>
          </w:p>
        </w:tc>
      </w:tr>
      <w:tr w:rsidR="003B6869" w:rsidRPr="001D49F2" w14:paraId="0BDFDA59"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21A14E15"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Sales</w:t>
            </w:r>
          </w:p>
        </w:tc>
        <w:tc>
          <w:tcPr>
            <w:tcW w:w="1279" w:type="dxa"/>
            <w:tcBorders>
              <w:top w:val="nil"/>
              <w:left w:val="nil"/>
              <w:bottom w:val="nil"/>
              <w:right w:val="nil"/>
            </w:tcBorders>
            <w:shd w:val="clear" w:color="auto" w:fill="auto"/>
            <w:noWrap/>
            <w:vAlign w:val="bottom"/>
            <w:hideMark/>
          </w:tcPr>
          <w:p w14:paraId="443D42A9"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115,714.92</w:t>
            </w:r>
            <w:proofErr w:type="gramEnd"/>
            <w:r w:rsidRPr="00FB042C">
              <w:rPr>
                <w:rFonts w:asciiTheme="minorHAnsi" w:hAnsiTheme="minorHAnsi" w:cstheme="minorHAnsi"/>
                <w:sz w:val="18"/>
                <w:szCs w:val="18"/>
              </w:rPr>
              <w:t xml:space="preserve"> </w:t>
            </w:r>
          </w:p>
        </w:tc>
        <w:tc>
          <w:tcPr>
            <w:tcW w:w="1504" w:type="dxa"/>
            <w:tcBorders>
              <w:top w:val="nil"/>
              <w:left w:val="nil"/>
              <w:bottom w:val="nil"/>
              <w:right w:val="nil"/>
            </w:tcBorders>
            <w:shd w:val="clear" w:color="auto" w:fill="auto"/>
            <w:noWrap/>
            <w:vAlign w:val="bottom"/>
            <w:hideMark/>
          </w:tcPr>
          <w:p w14:paraId="7D332EB9"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591,603.38</w:t>
            </w:r>
            <w:proofErr w:type="gramEnd"/>
            <w:r w:rsidRPr="00FB042C">
              <w:rPr>
                <w:rFonts w:asciiTheme="minorHAnsi" w:hAnsiTheme="minorHAnsi" w:cstheme="minorHAnsi"/>
                <w:sz w:val="18"/>
                <w:szCs w:val="18"/>
              </w:rPr>
              <w:t xml:space="preserve"> </w:t>
            </w:r>
          </w:p>
        </w:tc>
        <w:tc>
          <w:tcPr>
            <w:tcW w:w="243" w:type="dxa"/>
            <w:tcBorders>
              <w:top w:val="nil"/>
              <w:left w:val="nil"/>
              <w:bottom w:val="nil"/>
              <w:right w:val="nil"/>
            </w:tcBorders>
            <w:shd w:val="clear" w:color="auto" w:fill="auto"/>
            <w:noWrap/>
            <w:vAlign w:val="bottom"/>
            <w:hideMark/>
          </w:tcPr>
          <w:p w14:paraId="2F946D8A"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6C3B0432"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Sales</w:t>
            </w:r>
          </w:p>
        </w:tc>
        <w:tc>
          <w:tcPr>
            <w:tcW w:w="1279" w:type="dxa"/>
            <w:tcBorders>
              <w:top w:val="nil"/>
              <w:left w:val="nil"/>
              <w:bottom w:val="nil"/>
              <w:right w:val="nil"/>
            </w:tcBorders>
            <w:shd w:val="clear" w:color="auto" w:fill="auto"/>
            <w:noWrap/>
            <w:vAlign w:val="bottom"/>
            <w:hideMark/>
          </w:tcPr>
          <w:p w14:paraId="2F1CF3CB"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115,714.92</w:t>
            </w:r>
            <w:proofErr w:type="gramEnd"/>
            <w:r w:rsidRPr="00FB042C">
              <w:rPr>
                <w:rFonts w:asciiTheme="minorHAnsi" w:hAnsiTheme="minorHAnsi" w:cstheme="minorHAnsi"/>
                <w:sz w:val="18"/>
                <w:szCs w:val="18"/>
              </w:rPr>
              <w:t xml:space="preserve"> </w:t>
            </w:r>
          </w:p>
        </w:tc>
        <w:tc>
          <w:tcPr>
            <w:tcW w:w="1279" w:type="dxa"/>
            <w:tcBorders>
              <w:top w:val="nil"/>
              <w:left w:val="nil"/>
              <w:bottom w:val="nil"/>
              <w:right w:val="nil"/>
            </w:tcBorders>
            <w:shd w:val="clear" w:color="auto" w:fill="auto"/>
            <w:noWrap/>
            <w:vAlign w:val="bottom"/>
            <w:hideMark/>
          </w:tcPr>
          <w:p w14:paraId="04C16F84"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591,603.38</w:t>
            </w:r>
            <w:proofErr w:type="gramEnd"/>
            <w:r w:rsidRPr="00FB042C">
              <w:rPr>
                <w:rFonts w:asciiTheme="minorHAnsi" w:hAnsiTheme="minorHAnsi" w:cstheme="minorHAnsi"/>
                <w:sz w:val="18"/>
                <w:szCs w:val="18"/>
              </w:rPr>
              <w:t xml:space="preserve"> </w:t>
            </w:r>
          </w:p>
        </w:tc>
      </w:tr>
      <w:tr w:rsidR="003B6869" w:rsidRPr="001D49F2" w14:paraId="73E92175"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25C82F12"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Direct Materials</w:t>
            </w:r>
          </w:p>
        </w:tc>
        <w:tc>
          <w:tcPr>
            <w:tcW w:w="1279" w:type="dxa"/>
            <w:tcBorders>
              <w:top w:val="nil"/>
              <w:left w:val="nil"/>
              <w:bottom w:val="nil"/>
              <w:right w:val="nil"/>
            </w:tcBorders>
            <w:shd w:val="clear" w:color="auto" w:fill="auto"/>
            <w:noWrap/>
            <w:vAlign w:val="bottom"/>
            <w:hideMark/>
          </w:tcPr>
          <w:p w14:paraId="0BC29BDC"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8,818.92 </w:t>
            </w:r>
          </w:p>
        </w:tc>
        <w:tc>
          <w:tcPr>
            <w:tcW w:w="1504" w:type="dxa"/>
            <w:tcBorders>
              <w:top w:val="nil"/>
              <w:left w:val="nil"/>
              <w:bottom w:val="nil"/>
              <w:right w:val="nil"/>
            </w:tcBorders>
            <w:shd w:val="clear" w:color="auto" w:fill="auto"/>
            <w:noWrap/>
            <w:vAlign w:val="bottom"/>
            <w:hideMark/>
          </w:tcPr>
          <w:p w14:paraId="43E203FD"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15,568.51 </w:t>
            </w:r>
          </w:p>
        </w:tc>
        <w:tc>
          <w:tcPr>
            <w:tcW w:w="243" w:type="dxa"/>
            <w:tcBorders>
              <w:top w:val="nil"/>
              <w:left w:val="nil"/>
              <w:bottom w:val="nil"/>
              <w:right w:val="nil"/>
            </w:tcBorders>
            <w:shd w:val="clear" w:color="auto" w:fill="auto"/>
            <w:noWrap/>
            <w:vAlign w:val="bottom"/>
            <w:hideMark/>
          </w:tcPr>
          <w:p w14:paraId="50BFDC2C"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6B6E66F6"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Direct Materials</w:t>
            </w:r>
          </w:p>
        </w:tc>
        <w:tc>
          <w:tcPr>
            <w:tcW w:w="1279" w:type="dxa"/>
            <w:tcBorders>
              <w:top w:val="nil"/>
              <w:left w:val="nil"/>
              <w:bottom w:val="nil"/>
              <w:right w:val="nil"/>
            </w:tcBorders>
            <w:shd w:val="clear" w:color="auto" w:fill="auto"/>
            <w:noWrap/>
            <w:vAlign w:val="bottom"/>
            <w:hideMark/>
          </w:tcPr>
          <w:p w14:paraId="0570E98D"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8,818.92 </w:t>
            </w:r>
          </w:p>
        </w:tc>
        <w:tc>
          <w:tcPr>
            <w:tcW w:w="1279" w:type="dxa"/>
            <w:tcBorders>
              <w:top w:val="nil"/>
              <w:left w:val="nil"/>
              <w:bottom w:val="nil"/>
              <w:right w:val="nil"/>
            </w:tcBorders>
            <w:shd w:val="clear" w:color="auto" w:fill="auto"/>
            <w:noWrap/>
            <w:vAlign w:val="bottom"/>
            <w:hideMark/>
          </w:tcPr>
          <w:p w14:paraId="57BC7534"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15,568.51 </w:t>
            </w:r>
          </w:p>
        </w:tc>
      </w:tr>
      <w:tr w:rsidR="003B6869" w:rsidRPr="001D49F2" w14:paraId="5CE9DCB5"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51B56FFA"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Direct Labor</w:t>
            </w:r>
          </w:p>
        </w:tc>
        <w:tc>
          <w:tcPr>
            <w:tcW w:w="1279" w:type="dxa"/>
            <w:tcBorders>
              <w:top w:val="nil"/>
              <w:left w:val="nil"/>
              <w:bottom w:val="nil"/>
              <w:right w:val="nil"/>
            </w:tcBorders>
            <w:shd w:val="clear" w:color="auto" w:fill="auto"/>
            <w:noWrap/>
            <w:vAlign w:val="bottom"/>
            <w:hideMark/>
          </w:tcPr>
          <w:p w14:paraId="3895A802"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3,563.20 </w:t>
            </w:r>
          </w:p>
        </w:tc>
        <w:tc>
          <w:tcPr>
            <w:tcW w:w="1504" w:type="dxa"/>
            <w:tcBorders>
              <w:top w:val="nil"/>
              <w:left w:val="nil"/>
              <w:bottom w:val="nil"/>
              <w:right w:val="nil"/>
            </w:tcBorders>
            <w:shd w:val="clear" w:color="auto" w:fill="auto"/>
            <w:noWrap/>
            <w:vAlign w:val="bottom"/>
            <w:hideMark/>
          </w:tcPr>
          <w:p w14:paraId="605B1490"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1,261.05 </w:t>
            </w:r>
          </w:p>
        </w:tc>
        <w:tc>
          <w:tcPr>
            <w:tcW w:w="243" w:type="dxa"/>
            <w:tcBorders>
              <w:top w:val="nil"/>
              <w:left w:val="nil"/>
              <w:bottom w:val="nil"/>
              <w:right w:val="nil"/>
            </w:tcBorders>
            <w:shd w:val="clear" w:color="auto" w:fill="auto"/>
            <w:noWrap/>
            <w:vAlign w:val="bottom"/>
            <w:hideMark/>
          </w:tcPr>
          <w:p w14:paraId="2130CF3A"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688AA1A9"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Direct Labor</w:t>
            </w:r>
          </w:p>
        </w:tc>
        <w:tc>
          <w:tcPr>
            <w:tcW w:w="1279" w:type="dxa"/>
            <w:tcBorders>
              <w:top w:val="nil"/>
              <w:left w:val="nil"/>
              <w:bottom w:val="nil"/>
              <w:right w:val="nil"/>
            </w:tcBorders>
            <w:shd w:val="clear" w:color="auto" w:fill="auto"/>
            <w:noWrap/>
            <w:vAlign w:val="bottom"/>
            <w:hideMark/>
          </w:tcPr>
          <w:p w14:paraId="2968B613"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3,563.20 </w:t>
            </w:r>
          </w:p>
        </w:tc>
        <w:tc>
          <w:tcPr>
            <w:tcW w:w="1279" w:type="dxa"/>
            <w:tcBorders>
              <w:top w:val="nil"/>
              <w:left w:val="nil"/>
              <w:bottom w:val="nil"/>
              <w:right w:val="nil"/>
            </w:tcBorders>
            <w:shd w:val="clear" w:color="auto" w:fill="auto"/>
            <w:noWrap/>
            <w:vAlign w:val="bottom"/>
            <w:hideMark/>
          </w:tcPr>
          <w:p w14:paraId="311DBD09"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1,261.05 </w:t>
            </w:r>
          </w:p>
        </w:tc>
      </w:tr>
      <w:tr w:rsidR="003B6869" w:rsidRPr="001D49F2" w14:paraId="3805D433"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12C4EED0"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Manufacturing Overhead</w:t>
            </w:r>
          </w:p>
        </w:tc>
        <w:tc>
          <w:tcPr>
            <w:tcW w:w="1279" w:type="dxa"/>
            <w:tcBorders>
              <w:top w:val="nil"/>
              <w:left w:val="nil"/>
              <w:bottom w:val="nil"/>
              <w:right w:val="nil"/>
            </w:tcBorders>
            <w:shd w:val="clear" w:color="auto" w:fill="auto"/>
            <w:noWrap/>
            <w:vAlign w:val="bottom"/>
            <w:hideMark/>
          </w:tcPr>
          <w:p w14:paraId="280A59FC"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13,303.52 </w:t>
            </w:r>
          </w:p>
        </w:tc>
        <w:tc>
          <w:tcPr>
            <w:tcW w:w="1504" w:type="dxa"/>
            <w:tcBorders>
              <w:top w:val="nil"/>
              <w:left w:val="nil"/>
              <w:bottom w:val="nil"/>
              <w:right w:val="nil"/>
            </w:tcBorders>
            <w:shd w:val="clear" w:color="auto" w:fill="auto"/>
            <w:noWrap/>
            <w:vAlign w:val="bottom"/>
            <w:hideMark/>
          </w:tcPr>
          <w:p w14:paraId="302AE9C5"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104,627.48</w:t>
            </w:r>
            <w:proofErr w:type="gramEnd"/>
            <w:r w:rsidRPr="00FB042C">
              <w:rPr>
                <w:rFonts w:asciiTheme="minorHAnsi" w:hAnsiTheme="minorHAnsi" w:cstheme="minorHAnsi"/>
                <w:sz w:val="18"/>
                <w:szCs w:val="18"/>
              </w:rPr>
              <w:t xml:space="preserve"> </w:t>
            </w:r>
          </w:p>
        </w:tc>
        <w:tc>
          <w:tcPr>
            <w:tcW w:w="243" w:type="dxa"/>
            <w:tcBorders>
              <w:top w:val="nil"/>
              <w:left w:val="nil"/>
              <w:bottom w:val="nil"/>
              <w:right w:val="nil"/>
            </w:tcBorders>
            <w:shd w:val="clear" w:color="auto" w:fill="auto"/>
            <w:noWrap/>
            <w:vAlign w:val="bottom"/>
            <w:hideMark/>
          </w:tcPr>
          <w:p w14:paraId="79570082"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19BB622E"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Manufacturing Overhead</w:t>
            </w:r>
          </w:p>
        </w:tc>
        <w:tc>
          <w:tcPr>
            <w:tcW w:w="1279" w:type="dxa"/>
            <w:tcBorders>
              <w:top w:val="nil"/>
              <w:left w:val="nil"/>
              <w:bottom w:val="nil"/>
              <w:right w:val="nil"/>
            </w:tcBorders>
            <w:shd w:val="clear" w:color="auto" w:fill="auto"/>
            <w:noWrap/>
            <w:vAlign w:val="bottom"/>
            <w:hideMark/>
          </w:tcPr>
          <w:p w14:paraId="44B2485E"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91,612.98 </w:t>
            </w:r>
          </w:p>
        </w:tc>
        <w:tc>
          <w:tcPr>
            <w:tcW w:w="1279" w:type="dxa"/>
            <w:tcBorders>
              <w:top w:val="nil"/>
              <w:left w:val="nil"/>
              <w:bottom w:val="nil"/>
              <w:right w:val="nil"/>
            </w:tcBorders>
            <w:shd w:val="clear" w:color="auto" w:fill="auto"/>
            <w:noWrap/>
            <w:vAlign w:val="bottom"/>
            <w:hideMark/>
          </w:tcPr>
          <w:p w14:paraId="068F06D5"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26,318.02 </w:t>
            </w:r>
          </w:p>
        </w:tc>
      </w:tr>
      <w:tr w:rsidR="003B6869" w:rsidRPr="001D49F2" w14:paraId="2C7E0915"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52AA728E"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Product Margin</w:t>
            </w:r>
          </w:p>
        </w:tc>
        <w:tc>
          <w:tcPr>
            <w:tcW w:w="1279" w:type="dxa"/>
            <w:tcBorders>
              <w:top w:val="nil"/>
              <w:left w:val="nil"/>
              <w:bottom w:val="nil"/>
              <w:right w:val="nil"/>
            </w:tcBorders>
            <w:shd w:val="clear" w:color="auto" w:fill="auto"/>
            <w:noWrap/>
            <w:vAlign w:val="bottom"/>
            <w:hideMark/>
          </w:tcPr>
          <w:p w14:paraId="6FF99D1B"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90,029.28 </w:t>
            </w:r>
          </w:p>
        </w:tc>
        <w:tc>
          <w:tcPr>
            <w:tcW w:w="1504" w:type="dxa"/>
            <w:tcBorders>
              <w:top w:val="nil"/>
              <w:left w:val="nil"/>
              <w:bottom w:val="nil"/>
              <w:right w:val="nil"/>
            </w:tcBorders>
            <w:shd w:val="clear" w:color="auto" w:fill="auto"/>
            <w:noWrap/>
            <w:vAlign w:val="bottom"/>
            <w:hideMark/>
          </w:tcPr>
          <w:p w14:paraId="560D07BF"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470,146.34</w:t>
            </w:r>
            <w:proofErr w:type="gramEnd"/>
            <w:r w:rsidRPr="00FB042C">
              <w:rPr>
                <w:rFonts w:asciiTheme="minorHAnsi" w:hAnsiTheme="minorHAnsi" w:cstheme="minorHAnsi"/>
                <w:sz w:val="18"/>
                <w:szCs w:val="18"/>
              </w:rPr>
              <w:t xml:space="preserve"> </w:t>
            </w:r>
          </w:p>
        </w:tc>
        <w:tc>
          <w:tcPr>
            <w:tcW w:w="243" w:type="dxa"/>
            <w:tcBorders>
              <w:top w:val="nil"/>
              <w:left w:val="nil"/>
              <w:bottom w:val="nil"/>
              <w:right w:val="nil"/>
            </w:tcBorders>
            <w:shd w:val="clear" w:color="auto" w:fill="auto"/>
            <w:noWrap/>
            <w:vAlign w:val="bottom"/>
            <w:hideMark/>
          </w:tcPr>
          <w:p w14:paraId="4CEF1CCD"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0C30CC54"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Product Margin</w:t>
            </w:r>
          </w:p>
        </w:tc>
        <w:tc>
          <w:tcPr>
            <w:tcW w:w="1279" w:type="dxa"/>
            <w:tcBorders>
              <w:top w:val="nil"/>
              <w:left w:val="nil"/>
              <w:bottom w:val="nil"/>
              <w:right w:val="nil"/>
            </w:tcBorders>
            <w:shd w:val="clear" w:color="auto" w:fill="auto"/>
            <w:noWrap/>
            <w:vAlign w:val="bottom"/>
            <w:hideMark/>
          </w:tcPr>
          <w:p w14:paraId="471B5C8D"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11,719.82 </w:t>
            </w:r>
          </w:p>
        </w:tc>
        <w:tc>
          <w:tcPr>
            <w:tcW w:w="1279" w:type="dxa"/>
            <w:tcBorders>
              <w:top w:val="nil"/>
              <w:left w:val="nil"/>
              <w:bottom w:val="nil"/>
              <w:right w:val="nil"/>
            </w:tcBorders>
            <w:shd w:val="clear" w:color="auto" w:fill="auto"/>
            <w:noWrap/>
            <w:vAlign w:val="bottom"/>
            <w:hideMark/>
          </w:tcPr>
          <w:p w14:paraId="7FBA633D"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w:t>
            </w:r>
            <w:proofErr w:type="gramStart"/>
            <w:r w:rsidRPr="00FB042C">
              <w:rPr>
                <w:rFonts w:asciiTheme="minorHAnsi" w:hAnsiTheme="minorHAnsi" w:cstheme="minorHAnsi"/>
                <w:sz w:val="18"/>
                <w:szCs w:val="18"/>
              </w:rPr>
              <w:t>$  548,455.80</w:t>
            </w:r>
            <w:proofErr w:type="gramEnd"/>
            <w:r w:rsidRPr="00FB042C">
              <w:rPr>
                <w:rFonts w:asciiTheme="minorHAnsi" w:hAnsiTheme="minorHAnsi" w:cstheme="minorHAnsi"/>
                <w:sz w:val="18"/>
                <w:szCs w:val="18"/>
              </w:rPr>
              <w:t xml:space="preserve"> </w:t>
            </w:r>
          </w:p>
        </w:tc>
      </w:tr>
      <w:tr w:rsidR="003B6869" w:rsidRPr="001D49F2" w14:paraId="4403C58D" w14:textId="77777777" w:rsidTr="003B6869">
        <w:trPr>
          <w:trHeight w:val="247"/>
          <w:jc w:val="center"/>
        </w:trPr>
        <w:tc>
          <w:tcPr>
            <w:tcW w:w="2181" w:type="dxa"/>
            <w:tcBorders>
              <w:top w:val="nil"/>
              <w:left w:val="nil"/>
              <w:bottom w:val="nil"/>
              <w:right w:val="nil"/>
            </w:tcBorders>
            <w:shd w:val="clear" w:color="auto" w:fill="auto"/>
            <w:noWrap/>
            <w:vAlign w:val="bottom"/>
            <w:hideMark/>
          </w:tcPr>
          <w:p w14:paraId="7A2F3016" w14:textId="77777777" w:rsidR="003B6869" w:rsidRPr="00FB042C" w:rsidRDefault="003B6869" w:rsidP="000F05C8">
            <w:pPr>
              <w:rPr>
                <w:rFonts w:asciiTheme="minorHAnsi" w:hAnsiTheme="minorHAnsi" w:cstheme="minorHAnsi"/>
                <w:sz w:val="18"/>
                <w:szCs w:val="18"/>
              </w:rPr>
            </w:pPr>
          </w:p>
        </w:tc>
        <w:tc>
          <w:tcPr>
            <w:tcW w:w="1279" w:type="dxa"/>
            <w:tcBorders>
              <w:top w:val="nil"/>
              <w:left w:val="nil"/>
              <w:bottom w:val="nil"/>
              <w:right w:val="nil"/>
            </w:tcBorders>
            <w:shd w:val="clear" w:color="auto" w:fill="auto"/>
            <w:noWrap/>
            <w:vAlign w:val="bottom"/>
            <w:hideMark/>
          </w:tcPr>
          <w:p w14:paraId="7F54A470" w14:textId="77777777" w:rsidR="003B6869" w:rsidRPr="00FB042C" w:rsidRDefault="003B6869" w:rsidP="000F05C8">
            <w:pPr>
              <w:rPr>
                <w:rFonts w:asciiTheme="minorHAnsi" w:hAnsiTheme="minorHAnsi" w:cstheme="minorHAnsi"/>
                <w:sz w:val="18"/>
                <w:szCs w:val="18"/>
              </w:rPr>
            </w:pPr>
          </w:p>
        </w:tc>
        <w:tc>
          <w:tcPr>
            <w:tcW w:w="1504" w:type="dxa"/>
            <w:tcBorders>
              <w:top w:val="nil"/>
              <w:left w:val="nil"/>
              <w:bottom w:val="nil"/>
              <w:right w:val="nil"/>
            </w:tcBorders>
            <w:shd w:val="clear" w:color="auto" w:fill="auto"/>
            <w:noWrap/>
            <w:vAlign w:val="bottom"/>
            <w:hideMark/>
          </w:tcPr>
          <w:p w14:paraId="6D3564FB" w14:textId="77777777" w:rsidR="003B6869" w:rsidRPr="00FB042C" w:rsidRDefault="003B6869" w:rsidP="000F05C8">
            <w:pPr>
              <w:rPr>
                <w:rFonts w:asciiTheme="minorHAnsi" w:hAnsiTheme="minorHAnsi" w:cstheme="minorHAnsi"/>
                <w:sz w:val="18"/>
                <w:szCs w:val="18"/>
              </w:rPr>
            </w:pPr>
          </w:p>
        </w:tc>
        <w:tc>
          <w:tcPr>
            <w:tcW w:w="243" w:type="dxa"/>
            <w:tcBorders>
              <w:top w:val="nil"/>
              <w:left w:val="nil"/>
              <w:bottom w:val="nil"/>
              <w:right w:val="nil"/>
            </w:tcBorders>
            <w:shd w:val="clear" w:color="auto" w:fill="auto"/>
            <w:noWrap/>
            <w:vAlign w:val="bottom"/>
            <w:hideMark/>
          </w:tcPr>
          <w:p w14:paraId="346FDA9C" w14:textId="77777777" w:rsidR="003B6869" w:rsidRPr="00FB042C" w:rsidRDefault="003B6869" w:rsidP="000F05C8">
            <w:pPr>
              <w:rPr>
                <w:rFonts w:asciiTheme="minorHAnsi" w:hAnsiTheme="minorHAnsi" w:cstheme="minorHAnsi"/>
                <w:sz w:val="18"/>
                <w:szCs w:val="18"/>
              </w:rPr>
            </w:pPr>
          </w:p>
        </w:tc>
        <w:tc>
          <w:tcPr>
            <w:tcW w:w="2162" w:type="dxa"/>
            <w:tcBorders>
              <w:top w:val="nil"/>
              <w:left w:val="nil"/>
              <w:bottom w:val="nil"/>
              <w:right w:val="nil"/>
            </w:tcBorders>
            <w:shd w:val="clear" w:color="auto" w:fill="auto"/>
            <w:noWrap/>
            <w:vAlign w:val="bottom"/>
            <w:hideMark/>
          </w:tcPr>
          <w:p w14:paraId="42225C07" w14:textId="77777777" w:rsidR="003B6869" w:rsidRPr="00FB042C" w:rsidRDefault="003B6869" w:rsidP="000F05C8">
            <w:pPr>
              <w:rPr>
                <w:rFonts w:asciiTheme="minorHAnsi" w:hAnsiTheme="minorHAnsi" w:cstheme="minorHAnsi"/>
                <w:sz w:val="18"/>
                <w:szCs w:val="18"/>
              </w:rPr>
            </w:pPr>
          </w:p>
        </w:tc>
        <w:tc>
          <w:tcPr>
            <w:tcW w:w="1279" w:type="dxa"/>
            <w:tcBorders>
              <w:top w:val="nil"/>
              <w:left w:val="nil"/>
              <w:bottom w:val="nil"/>
              <w:right w:val="nil"/>
            </w:tcBorders>
            <w:shd w:val="clear" w:color="auto" w:fill="auto"/>
            <w:noWrap/>
            <w:vAlign w:val="bottom"/>
            <w:hideMark/>
          </w:tcPr>
          <w:p w14:paraId="3B314BB7" w14:textId="77777777" w:rsidR="003B6869" w:rsidRPr="00FB042C" w:rsidRDefault="003B6869" w:rsidP="000F05C8">
            <w:pPr>
              <w:rPr>
                <w:rFonts w:asciiTheme="minorHAnsi" w:hAnsiTheme="minorHAnsi" w:cstheme="minorHAnsi"/>
                <w:sz w:val="18"/>
                <w:szCs w:val="18"/>
              </w:rPr>
            </w:pPr>
          </w:p>
        </w:tc>
        <w:tc>
          <w:tcPr>
            <w:tcW w:w="1279" w:type="dxa"/>
            <w:tcBorders>
              <w:top w:val="nil"/>
              <w:left w:val="nil"/>
              <w:bottom w:val="nil"/>
              <w:right w:val="nil"/>
            </w:tcBorders>
            <w:shd w:val="clear" w:color="auto" w:fill="auto"/>
            <w:noWrap/>
            <w:vAlign w:val="bottom"/>
            <w:hideMark/>
          </w:tcPr>
          <w:p w14:paraId="6D3276C8" w14:textId="77777777" w:rsidR="003B6869" w:rsidRPr="00FB042C" w:rsidRDefault="003B6869" w:rsidP="000F05C8">
            <w:pPr>
              <w:rPr>
                <w:rFonts w:asciiTheme="minorHAnsi" w:hAnsiTheme="minorHAnsi" w:cstheme="minorHAnsi"/>
                <w:sz w:val="18"/>
                <w:szCs w:val="18"/>
              </w:rPr>
            </w:pPr>
          </w:p>
        </w:tc>
      </w:tr>
      <w:tr w:rsidR="003B6869" w:rsidRPr="001D49F2" w14:paraId="4C67297C" w14:textId="77777777" w:rsidTr="003B6869">
        <w:trPr>
          <w:trHeight w:val="259"/>
          <w:jc w:val="center"/>
        </w:trPr>
        <w:tc>
          <w:tcPr>
            <w:tcW w:w="2181" w:type="dxa"/>
            <w:tcBorders>
              <w:top w:val="single" w:sz="4" w:space="0" w:color="auto"/>
              <w:left w:val="nil"/>
              <w:bottom w:val="double" w:sz="6" w:space="0" w:color="auto"/>
              <w:right w:val="nil"/>
            </w:tcBorders>
            <w:shd w:val="clear" w:color="auto" w:fill="auto"/>
            <w:noWrap/>
            <w:vAlign w:val="bottom"/>
            <w:hideMark/>
          </w:tcPr>
          <w:p w14:paraId="5FBE8577" w14:textId="77777777" w:rsidR="003B6869" w:rsidRPr="00FB042C" w:rsidRDefault="003B6869" w:rsidP="000F05C8">
            <w:pPr>
              <w:rPr>
                <w:rFonts w:asciiTheme="minorHAnsi" w:hAnsiTheme="minorHAnsi" w:cstheme="minorHAnsi"/>
                <w:b/>
                <w:bCs/>
                <w:sz w:val="18"/>
                <w:szCs w:val="18"/>
              </w:rPr>
            </w:pPr>
            <w:r w:rsidRPr="00FB042C">
              <w:rPr>
                <w:rFonts w:asciiTheme="minorHAnsi" w:hAnsiTheme="minorHAnsi" w:cstheme="minorHAnsi"/>
                <w:b/>
                <w:bCs/>
                <w:sz w:val="18"/>
                <w:szCs w:val="18"/>
              </w:rPr>
              <w:t>per unit</w:t>
            </w:r>
          </w:p>
        </w:tc>
        <w:tc>
          <w:tcPr>
            <w:tcW w:w="1279" w:type="dxa"/>
            <w:tcBorders>
              <w:top w:val="single" w:sz="4" w:space="0" w:color="auto"/>
              <w:left w:val="nil"/>
              <w:bottom w:val="double" w:sz="6" w:space="0" w:color="auto"/>
              <w:right w:val="nil"/>
            </w:tcBorders>
            <w:shd w:val="clear" w:color="auto" w:fill="auto"/>
            <w:noWrap/>
            <w:vAlign w:val="bottom"/>
            <w:hideMark/>
          </w:tcPr>
          <w:p w14:paraId="2B131EDE"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10.11 </w:t>
            </w:r>
          </w:p>
        </w:tc>
        <w:tc>
          <w:tcPr>
            <w:tcW w:w="1504" w:type="dxa"/>
            <w:tcBorders>
              <w:top w:val="single" w:sz="4" w:space="0" w:color="auto"/>
              <w:left w:val="nil"/>
              <w:bottom w:val="double" w:sz="6" w:space="0" w:color="auto"/>
              <w:right w:val="nil"/>
            </w:tcBorders>
            <w:shd w:val="clear" w:color="auto" w:fill="auto"/>
            <w:noWrap/>
            <w:vAlign w:val="bottom"/>
            <w:hideMark/>
          </w:tcPr>
          <w:p w14:paraId="1793EF10"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0.30 </w:t>
            </w:r>
          </w:p>
        </w:tc>
        <w:tc>
          <w:tcPr>
            <w:tcW w:w="243" w:type="dxa"/>
            <w:tcBorders>
              <w:top w:val="nil"/>
              <w:left w:val="nil"/>
              <w:bottom w:val="nil"/>
              <w:right w:val="nil"/>
            </w:tcBorders>
            <w:shd w:val="clear" w:color="auto" w:fill="auto"/>
            <w:noWrap/>
            <w:vAlign w:val="bottom"/>
            <w:hideMark/>
          </w:tcPr>
          <w:p w14:paraId="2146E612" w14:textId="77777777" w:rsidR="003B6869" w:rsidRPr="00FB042C" w:rsidRDefault="003B6869" w:rsidP="000F05C8">
            <w:pPr>
              <w:rPr>
                <w:rFonts w:asciiTheme="minorHAnsi" w:hAnsiTheme="minorHAnsi" w:cstheme="minorHAnsi"/>
                <w:sz w:val="18"/>
                <w:szCs w:val="18"/>
              </w:rPr>
            </w:pPr>
          </w:p>
        </w:tc>
        <w:tc>
          <w:tcPr>
            <w:tcW w:w="2162" w:type="dxa"/>
            <w:tcBorders>
              <w:top w:val="single" w:sz="4" w:space="0" w:color="auto"/>
              <w:left w:val="nil"/>
              <w:bottom w:val="double" w:sz="6" w:space="0" w:color="auto"/>
              <w:right w:val="nil"/>
            </w:tcBorders>
            <w:shd w:val="clear" w:color="auto" w:fill="auto"/>
            <w:noWrap/>
            <w:vAlign w:val="bottom"/>
            <w:hideMark/>
          </w:tcPr>
          <w:p w14:paraId="37F50F4A" w14:textId="77777777" w:rsidR="003B6869" w:rsidRPr="00FB042C" w:rsidRDefault="003B6869" w:rsidP="000F05C8">
            <w:pPr>
              <w:rPr>
                <w:rFonts w:asciiTheme="minorHAnsi" w:hAnsiTheme="minorHAnsi" w:cstheme="minorHAnsi"/>
                <w:b/>
                <w:bCs/>
                <w:color w:val="000000"/>
                <w:sz w:val="18"/>
                <w:szCs w:val="18"/>
              </w:rPr>
            </w:pPr>
            <w:r w:rsidRPr="00FB042C">
              <w:rPr>
                <w:rFonts w:asciiTheme="minorHAnsi" w:hAnsiTheme="minorHAnsi" w:cstheme="minorHAnsi"/>
                <w:b/>
                <w:bCs/>
                <w:color w:val="000000"/>
                <w:sz w:val="18"/>
                <w:szCs w:val="18"/>
              </w:rPr>
              <w:t>per unit</w:t>
            </w:r>
          </w:p>
        </w:tc>
        <w:tc>
          <w:tcPr>
            <w:tcW w:w="1279" w:type="dxa"/>
            <w:tcBorders>
              <w:top w:val="single" w:sz="4" w:space="0" w:color="auto"/>
              <w:left w:val="nil"/>
              <w:bottom w:val="double" w:sz="6" w:space="0" w:color="auto"/>
              <w:right w:val="nil"/>
            </w:tcBorders>
            <w:shd w:val="clear" w:color="auto" w:fill="auto"/>
            <w:noWrap/>
            <w:vAlign w:val="bottom"/>
            <w:hideMark/>
          </w:tcPr>
          <w:p w14:paraId="4F58600D"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1.32 </w:t>
            </w:r>
          </w:p>
        </w:tc>
        <w:tc>
          <w:tcPr>
            <w:tcW w:w="1279" w:type="dxa"/>
            <w:tcBorders>
              <w:top w:val="single" w:sz="4" w:space="0" w:color="auto"/>
              <w:left w:val="nil"/>
              <w:bottom w:val="double" w:sz="6" w:space="0" w:color="auto"/>
              <w:right w:val="nil"/>
            </w:tcBorders>
            <w:shd w:val="clear" w:color="auto" w:fill="auto"/>
            <w:noWrap/>
            <w:vAlign w:val="bottom"/>
            <w:hideMark/>
          </w:tcPr>
          <w:p w14:paraId="0C69A838" w14:textId="77777777" w:rsidR="003B6869" w:rsidRPr="00FB042C" w:rsidRDefault="003B6869" w:rsidP="000F05C8">
            <w:pPr>
              <w:rPr>
                <w:rFonts w:asciiTheme="minorHAnsi" w:hAnsiTheme="minorHAnsi" w:cstheme="minorHAnsi"/>
                <w:sz w:val="18"/>
                <w:szCs w:val="18"/>
              </w:rPr>
            </w:pPr>
            <w:r w:rsidRPr="00FB042C">
              <w:rPr>
                <w:rFonts w:asciiTheme="minorHAnsi" w:hAnsiTheme="minorHAnsi" w:cstheme="minorHAnsi"/>
                <w:sz w:val="18"/>
                <w:szCs w:val="18"/>
              </w:rPr>
              <w:t xml:space="preserve"> $               0.35 </w:t>
            </w:r>
          </w:p>
        </w:tc>
      </w:tr>
    </w:tbl>
    <w:p w14:paraId="210EBA99" w14:textId="4D193C46" w:rsidR="003B6869" w:rsidRDefault="003B6869" w:rsidP="00BE41EB"/>
    <w:p w14:paraId="7044CCAE" w14:textId="549318C7" w:rsidR="00C70F89" w:rsidRDefault="00A642CB" w:rsidP="00D373FE">
      <w:pPr>
        <w:ind w:firstLine="720"/>
      </w:pPr>
      <w:proofErr w:type="spellStart"/>
      <w:r>
        <w:t>Jeemp</w:t>
      </w:r>
      <w:proofErr w:type="spellEnd"/>
      <w:r>
        <w:t xml:space="preserve"> Farms should not cut the sod portion of their business</w:t>
      </w:r>
      <w:r w:rsidR="00BE41EB">
        <w:t xml:space="preserve"> in favor of pecan trees</w:t>
      </w:r>
      <w:r>
        <w:t xml:space="preserve">.  </w:t>
      </w:r>
      <w:r w:rsidR="00A40F07">
        <w:t>Pecan trees take longer to grow and take up more space than sod.  T</w:t>
      </w:r>
      <w:r>
        <w:t xml:space="preserve">he maximum number of </w:t>
      </w:r>
      <w:r w:rsidR="00A40F07">
        <w:t xml:space="preserve">pecan </w:t>
      </w:r>
      <w:r>
        <w:t>trees that can be planted per acre is 35</w:t>
      </w:r>
      <w:sdt>
        <w:sdtPr>
          <w:id w:val="-757210638"/>
          <w:citation/>
        </w:sdtPr>
        <w:sdtEndPr/>
        <w:sdtContent>
          <w:r>
            <w:fldChar w:fldCharType="begin"/>
          </w:r>
          <w:r>
            <w:instrText xml:space="preserve"> CITATION Mon14 \l 1033 </w:instrText>
          </w:r>
          <w:r>
            <w:fldChar w:fldCharType="separate"/>
          </w:r>
          <w:r w:rsidR="009D368A">
            <w:rPr>
              <w:noProof/>
            </w:rPr>
            <w:t xml:space="preserve"> (Monte Nesbitt, 2014)</w:t>
          </w:r>
          <w:r>
            <w:fldChar w:fldCharType="end"/>
          </w:r>
        </w:sdtContent>
      </w:sdt>
      <w:r>
        <w:t xml:space="preserve">.  </w:t>
      </w:r>
      <w:r w:rsidR="003A6FBE">
        <w:t xml:space="preserve">One acre of sod could support 43,560 </w:t>
      </w:r>
      <w:r w:rsidR="00042905">
        <w:t xml:space="preserve">square foot </w:t>
      </w:r>
      <w:r w:rsidR="003A6FBE">
        <w:t xml:space="preserve">units </w:t>
      </w:r>
      <w:sdt>
        <w:sdtPr>
          <w:id w:val="-686130446"/>
          <w:citation/>
        </w:sdtPr>
        <w:sdtEndPr/>
        <w:sdtContent>
          <w:r w:rsidR="003A6FBE">
            <w:fldChar w:fldCharType="begin"/>
          </w:r>
          <w:r w:rsidR="003A6FBE">
            <w:instrText xml:space="preserve"> CITATION Ala19 \l 1033 </w:instrText>
          </w:r>
          <w:r w:rsidR="003A6FBE">
            <w:fldChar w:fldCharType="separate"/>
          </w:r>
          <w:r w:rsidR="009D368A">
            <w:rPr>
              <w:noProof/>
            </w:rPr>
            <w:t>(Hazell, 2019)</w:t>
          </w:r>
          <w:r w:rsidR="003A6FBE">
            <w:fldChar w:fldCharType="end"/>
          </w:r>
        </w:sdtContent>
      </w:sdt>
      <w:r w:rsidR="003A6FBE">
        <w:t xml:space="preserve">.  </w:t>
      </w:r>
      <w:r>
        <w:t>Currently we estimated</w:t>
      </w:r>
      <w:r w:rsidR="00CC0D87">
        <w:t xml:space="preserve"> that </w:t>
      </w:r>
      <w:proofErr w:type="spellStart"/>
      <w:r w:rsidR="00CC0D87">
        <w:t>Jeemp</w:t>
      </w:r>
      <w:proofErr w:type="spellEnd"/>
      <w:r w:rsidR="00CC0D87">
        <w:t xml:space="preserve"> Farms has </w:t>
      </w:r>
      <w:r w:rsidR="00BE41EB">
        <w:t xml:space="preserve">about </w:t>
      </w:r>
      <w:r w:rsidR="00CC0D87">
        <w:t xml:space="preserve">255 acres of pecan trees planted compared to </w:t>
      </w:r>
      <w:r w:rsidR="00BE41EB">
        <w:t xml:space="preserve">about </w:t>
      </w:r>
      <w:r w:rsidR="00CC0D87">
        <w:t>36 acres of sod</w:t>
      </w:r>
      <w:r w:rsidR="005416AB">
        <w:t xml:space="preserve">.  </w:t>
      </w:r>
      <w:r w:rsidR="00CC0D87">
        <w:t>The product margin per acre for each product is below:</w:t>
      </w:r>
    </w:p>
    <w:p w14:paraId="2A2A5D2A" w14:textId="24A68FA4" w:rsidR="005416AB" w:rsidRDefault="005416AB" w:rsidP="00D373FE">
      <w:pPr>
        <w:ind w:firstLine="720"/>
      </w:pPr>
    </w:p>
    <w:p w14:paraId="24E14479" w14:textId="77777777" w:rsidR="005416AB" w:rsidRDefault="005416AB" w:rsidP="00D373FE">
      <w:pPr>
        <w:ind w:firstLine="720"/>
      </w:pPr>
    </w:p>
    <w:p w14:paraId="0A2EC1D2" w14:textId="3ECE525B" w:rsidR="00701534" w:rsidRDefault="00701534" w:rsidP="00D373FE">
      <w:pPr>
        <w:ind w:firstLine="720"/>
      </w:pPr>
    </w:p>
    <w:p w14:paraId="0C3A4853" w14:textId="77777777" w:rsidR="00701534" w:rsidRDefault="00701534" w:rsidP="00D373FE">
      <w:pPr>
        <w:ind w:firstLine="720"/>
      </w:pPr>
    </w:p>
    <w:p w14:paraId="29C6F463" w14:textId="77777777" w:rsidR="00042905" w:rsidRDefault="00042905" w:rsidP="00D373FE">
      <w:pPr>
        <w:ind w:firstLine="720"/>
      </w:pPr>
    </w:p>
    <w:p w14:paraId="1DE54BB9" w14:textId="03559FD7" w:rsidR="00557F18" w:rsidRDefault="00557F18" w:rsidP="00D373FE">
      <w:pPr>
        <w:ind w:firstLine="720"/>
      </w:pPr>
    </w:p>
    <w:p w14:paraId="06E1A82E" w14:textId="19FD96DC" w:rsidR="00557F18" w:rsidRDefault="00557F18" w:rsidP="00D373FE">
      <w:pPr>
        <w:ind w:firstLine="720"/>
      </w:pPr>
    </w:p>
    <w:p w14:paraId="30914336" w14:textId="4FCC432C" w:rsidR="00557F18" w:rsidRDefault="00557F18" w:rsidP="00D373FE">
      <w:pPr>
        <w:ind w:firstLine="720"/>
      </w:pPr>
    </w:p>
    <w:p w14:paraId="6A39DB4A" w14:textId="77777777" w:rsidR="00557F18" w:rsidRDefault="00557F18" w:rsidP="00D373FE">
      <w:pPr>
        <w:ind w:firstLine="720"/>
      </w:pPr>
    </w:p>
    <w:tbl>
      <w:tblPr>
        <w:tblStyle w:val="PlainTable5"/>
        <w:tblW w:w="5940" w:type="dxa"/>
        <w:jc w:val="center"/>
        <w:tblLook w:val="04A0" w:firstRow="1" w:lastRow="0" w:firstColumn="1" w:lastColumn="0" w:noHBand="0" w:noVBand="1"/>
      </w:tblPr>
      <w:tblGrid>
        <w:gridCol w:w="2540"/>
        <w:gridCol w:w="1600"/>
        <w:gridCol w:w="1800"/>
      </w:tblGrid>
      <w:tr w:rsidR="00C70F89" w14:paraId="70DC21A7" w14:textId="77777777" w:rsidTr="00C70F8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540" w:type="dxa"/>
            <w:noWrap/>
            <w:hideMark/>
          </w:tcPr>
          <w:p w14:paraId="5A46AFD6" w14:textId="77777777" w:rsidR="00C70F89" w:rsidRDefault="00C70F89">
            <w:pPr>
              <w:rPr>
                <w:rFonts w:ascii="Calibri" w:hAnsi="Calibri" w:cs="Calibri"/>
                <w:color w:val="000000"/>
                <w:sz w:val="22"/>
                <w:szCs w:val="22"/>
              </w:rPr>
            </w:pPr>
            <w:r>
              <w:rPr>
                <w:rFonts w:ascii="Calibri" w:hAnsi="Calibri" w:cs="Calibri"/>
                <w:color w:val="000000"/>
                <w:sz w:val="22"/>
                <w:szCs w:val="22"/>
              </w:rPr>
              <w:lastRenderedPageBreak/>
              <w:t> </w:t>
            </w:r>
          </w:p>
        </w:tc>
        <w:tc>
          <w:tcPr>
            <w:tcW w:w="1600" w:type="dxa"/>
            <w:noWrap/>
            <w:hideMark/>
          </w:tcPr>
          <w:p w14:paraId="64D496B5" w14:textId="77777777" w:rsidR="00C70F89" w:rsidRDefault="00C70F8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Pecan Trees</w:t>
            </w:r>
          </w:p>
        </w:tc>
        <w:tc>
          <w:tcPr>
            <w:tcW w:w="1800" w:type="dxa"/>
            <w:noWrap/>
            <w:hideMark/>
          </w:tcPr>
          <w:p w14:paraId="4AA68228" w14:textId="77777777" w:rsidR="00C70F89" w:rsidRDefault="00C70F8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Sod</w:t>
            </w:r>
          </w:p>
        </w:tc>
      </w:tr>
      <w:tr w:rsidR="00C70F89" w14:paraId="577BFA50" w14:textId="77777777" w:rsidTr="00C70F8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803FDCD" w14:textId="77777777" w:rsidR="00C70F89" w:rsidRDefault="00C70F89" w:rsidP="00C70F89">
            <w:pPr>
              <w:rPr>
                <w:rFonts w:ascii="Calibri" w:hAnsi="Calibri" w:cs="Calibri"/>
                <w:color w:val="000000"/>
                <w:sz w:val="22"/>
                <w:szCs w:val="22"/>
              </w:rPr>
            </w:pPr>
            <w:r>
              <w:rPr>
                <w:rFonts w:ascii="Calibri" w:hAnsi="Calibri" w:cs="Calibri"/>
                <w:color w:val="000000"/>
                <w:sz w:val="22"/>
                <w:szCs w:val="22"/>
              </w:rPr>
              <w:t>Maximum Units/Acre</w:t>
            </w:r>
          </w:p>
        </w:tc>
        <w:tc>
          <w:tcPr>
            <w:tcW w:w="1600" w:type="dxa"/>
            <w:noWrap/>
            <w:hideMark/>
          </w:tcPr>
          <w:p w14:paraId="5C2C7E4F"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35 </w:t>
            </w:r>
          </w:p>
        </w:tc>
        <w:tc>
          <w:tcPr>
            <w:tcW w:w="1800" w:type="dxa"/>
            <w:noWrap/>
            <w:hideMark/>
          </w:tcPr>
          <w:p w14:paraId="31F67890"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43,560 </w:t>
            </w:r>
          </w:p>
        </w:tc>
      </w:tr>
      <w:tr w:rsidR="00C70F89" w14:paraId="5C2A193C" w14:textId="77777777" w:rsidTr="00C70F89">
        <w:trPr>
          <w:trHeight w:val="300"/>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A3EAC46" w14:textId="77777777" w:rsidR="00C70F89" w:rsidRDefault="00C70F89">
            <w:pPr>
              <w:rPr>
                <w:rFonts w:ascii="Calibri" w:hAnsi="Calibri" w:cs="Calibri"/>
                <w:color w:val="000000"/>
                <w:sz w:val="22"/>
                <w:szCs w:val="22"/>
              </w:rPr>
            </w:pPr>
            <w:r>
              <w:rPr>
                <w:rFonts w:ascii="Calibri" w:hAnsi="Calibri" w:cs="Calibri"/>
                <w:color w:val="000000"/>
                <w:sz w:val="22"/>
                <w:szCs w:val="22"/>
              </w:rPr>
              <w:t>Units Produced</w:t>
            </w:r>
          </w:p>
        </w:tc>
        <w:tc>
          <w:tcPr>
            <w:tcW w:w="1600" w:type="dxa"/>
            <w:noWrap/>
            <w:hideMark/>
          </w:tcPr>
          <w:p w14:paraId="6163D1C5"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8,908 </w:t>
            </w:r>
          </w:p>
        </w:tc>
        <w:tc>
          <w:tcPr>
            <w:tcW w:w="1800" w:type="dxa"/>
            <w:noWrap/>
            <w:hideMark/>
          </w:tcPr>
          <w:p w14:paraId="4D735253"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1,556,851 </w:t>
            </w:r>
          </w:p>
        </w:tc>
      </w:tr>
      <w:tr w:rsidR="00C70F89" w14:paraId="6B74B6E4" w14:textId="77777777" w:rsidTr="00C70F8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5616FFE4" w14:textId="77777777" w:rsidR="00C70F89" w:rsidRDefault="00C70F89">
            <w:pPr>
              <w:rPr>
                <w:rFonts w:ascii="Calibri" w:hAnsi="Calibri" w:cs="Calibri"/>
                <w:color w:val="000000"/>
                <w:sz w:val="22"/>
                <w:szCs w:val="22"/>
              </w:rPr>
            </w:pPr>
            <w:r>
              <w:rPr>
                <w:rFonts w:ascii="Calibri" w:hAnsi="Calibri" w:cs="Calibri"/>
                <w:color w:val="000000"/>
                <w:sz w:val="22"/>
                <w:szCs w:val="22"/>
              </w:rPr>
              <w:t>Acres per product</w:t>
            </w:r>
          </w:p>
        </w:tc>
        <w:tc>
          <w:tcPr>
            <w:tcW w:w="1600" w:type="dxa"/>
            <w:noWrap/>
            <w:hideMark/>
          </w:tcPr>
          <w:p w14:paraId="4B63B9A6"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255 </w:t>
            </w:r>
          </w:p>
        </w:tc>
        <w:tc>
          <w:tcPr>
            <w:tcW w:w="1800" w:type="dxa"/>
            <w:noWrap/>
            <w:hideMark/>
          </w:tcPr>
          <w:p w14:paraId="4BD5FDC1"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36 </w:t>
            </w:r>
          </w:p>
        </w:tc>
      </w:tr>
      <w:tr w:rsidR="00C70F89" w14:paraId="44175CE3" w14:textId="77777777" w:rsidTr="00C70F89">
        <w:trPr>
          <w:trHeight w:val="300"/>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77994A9A" w14:textId="77777777" w:rsidR="00C70F89" w:rsidRDefault="00C70F89">
            <w:pPr>
              <w:rPr>
                <w:rFonts w:ascii="Calibri" w:hAnsi="Calibri" w:cs="Calibri"/>
                <w:color w:val="000000"/>
                <w:sz w:val="22"/>
                <w:szCs w:val="22"/>
              </w:rPr>
            </w:pPr>
            <w:r>
              <w:rPr>
                <w:rFonts w:ascii="Calibri" w:hAnsi="Calibri" w:cs="Calibri"/>
                <w:color w:val="000000"/>
                <w:sz w:val="22"/>
                <w:szCs w:val="22"/>
              </w:rPr>
              <w:t>Product Margin</w:t>
            </w:r>
          </w:p>
        </w:tc>
        <w:tc>
          <w:tcPr>
            <w:tcW w:w="1600" w:type="dxa"/>
            <w:noWrap/>
            <w:hideMark/>
          </w:tcPr>
          <w:p w14:paraId="4ECFE6DD"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11,719.82 </w:t>
            </w:r>
          </w:p>
        </w:tc>
        <w:tc>
          <w:tcPr>
            <w:tcW w:w="1800" w:type="dxa"/>
            <w:noWrap/>
            <w:hideMark/>
          </w:tcPr>
          <w:p w14:paraId="18D87BF0"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548,455.80 </w:t>
            </w:r>
          </w:p>
        </w:tc>
      </w:tr>
      <w:tr w:rsidR="00C70F89" w14:paraId="33BC155B" w14:textId="77777777" w:rsidTr="00C70F8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4F533ADE" w14:textId="77777777" w:rsidR="00C70F89" w:rsidRDefault="00C70F89">
            <w:pPr>
              <w:rPr>
                <w:rFonts w:ascii="Calibri" w:hAnsi="Calibri" w:cs="Calibri"/>
                <w:color w:val="000000"/>
                <w:sz w:val="22"/>
                <w:szCs w:val="22"/>
              </w:rPr>
            </w:pPr>
          </w:p>
        </w:tc>
        <w:tc>
          <w:tcPr>
            <w:tcW w:w="1600" w:type="dxa"/>
            <w:noWrap/>
            <w:hideMark/>
          </w:tcPr>
          <w:p w14:paraId="47063EA6"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noWrap/>
            <w:hideMark/>
          </w:tcPr>
          <w:p w14:paraId="559E44A3" w14:textId="77777777" w:rsidR="00C70F89" w:rsidRDefault="00C70F89" w:rsidP="00C70F89">
            <w:pPr>
              <w:jc w:val="right"/>
              <w:cnfStyle w:val="000000100000" w:firstRow="0" w:lastRow="0" w:firstColumn="0" w:lastColumn="0" w:oddVBand="0" w:evenVBand="0" w:oddHBand="1" w:evenHBand="0" w:firstRowFirstColumn="0" w:firstRowLastColumn="0" w:lastRowFirstColumn="0" w:lastRowLastColumn="0"/>
              <w:rPr>
                <w:sz w:val="20"/>
                <w:szCs w:val="20"/>
              </w:rPr>
            </w:pPr>
          </w:p>
        </w:tc>
      </w:tr>
      <w:tr w:rsidR="00C70F89" w14:paraId="4E1631A5" w14:textId="77777777" w:rsidTr="00C70F89">
        <w:trPr>
          <w:trHeight w:val="315"/>
          <w:jc w:val="center"/>
        </w:trPr>
        <w:tc>
          <w:tcPr>
            <w:cnfStyle w:val="001000000000" w:firstRow="0" w:lastRow="0" w:firstColumn="1" w:lastColumn="0" w:oddVBand="0" w:evenVBand="0" w:oddHBand="0" w:evenHBand="0" w:firstRowFirstColumn="0" w:firstRowLastColumn="0" w:lastRowFirstColumn="0" w:lastRowLastColumn="0"/>
            <w:tcW w:w="2540" w:type="dxa"/>
            <w:noWrap/>
            <w:hideMark/>
          </w:tcPr>
          <w:p w14:paraId="518C0C5D" w14:textId="77777777" w:rsidR="00C70F89" w:rsidRDefault="00C70F89">
            <w:pPr>
              <w:rPr>
                <w:rFonts w:ascii="Calibri" w:hAnsi="Calibri" w:cs="Calibri"/>
                <w:color w:val="000000"/>
                <w:sz w:val="22"/>
                <w:szCs w:val="22"/>
              </w:rPr>
            </w:pPr>
            <w:r>
              <w:rPr>
                <w:rFonts w:ascii="Calibri" w:hAnsi="Calibri" w:cs="Calibri"/>
                <w:color w:val="000000"/>
                <w:sz w:val="22"/>
                <w:szCs w:val="22"/>
              </w:rPr>
              <w:t>Product Margin/Acre</w:t>
            </w:r>
          </w:p>
        </w:tc>
        <w:tc>
          <w:tcPr>
            <w:tcW w:w="1600" w:type="dxa"/>
            <w:noWrap/>
            <w:hideMark/>
          </w:tcPr>
          <w:p w14:paraId="04C3307E"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46.05 </w:t>
            </w:r>
          </w:p>
        </w:tc>
        <w:tc>
          <w:tcPr>
            <w:tcW w:w="1800" w:type="dxa"/>
            <w:noWrap/>
            <w:hideMark/>
          </w:tcPr>
          <w:p w14:paraId="4F280A0B" w14:textId="77777777" w:rsidR="00C70F89" w:rsidRDefault="00C70F89"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15,345.55 </w:t>
            </w:r>
          </w:p>
        </w:tc>
      </w:tr>
    </w:tbl>
    <w:p w14:paraId="13C3539E" w14:textId="77777777" w:rsidR="00CC0D87" w:rsidRDefault="00CC0D87" w:rsidP="003B6869">
      <w:pPr>
        <w:ind w:firstLine="720"/>
      </w:pPr>
    </w:p>
    <w:p w14:paraId="77408A6D" w14:textId="77777777" w:rsidR="00A642CB" w:rsidRDefault="00A642CB" w:rsidP="003B6869">
      <w:pPr>
        <w:ind w:firstLine="720"/>
      </w:pPr>
    </w:p>
    <w:p w14:paraId="5C2A2836" w14:textId="1569DDC1" w:rsidR="003B6869" w:rsidRDefault="009A18F0" w:rsidP="003B6869">
      <w:pPr>
        <w:ind w:firstLine="720"/>
      </w:pPr>
      <w:r>
        <w:t>This shows that a</w:t>
      </w:r>
      <w:r w:rsidR="00EF37FF">
        <w:t xml:space="preserve">n acre of sod is much more valuable to </w:t>
      </w:r>
      <w:proofErr w:type="spellStart"/>
      <w:r w:rsidR="00EF37FF">
        <w:t>Jeemp</w:t>
      </w:r>
      <w:proofErr w:type="spellEnd"/>
      <w:r w:rsidR="00EF37FF">
        <w:t xml:space="preserve"> Farms than an acre of pecan trees.  </w:t>
      </w:r>
      <w:r w:rsidR="00A642CB">
        <w:t xml:space="preserve">In fact, to maximize profitability, </w:t>
      </w:r>
      <w:r w:rsidR="009D368A">
        <w:t>this data suggests</w:t>
      </w:r>
      <w:r w:rsidR="00EF37FF">
        <w:t xml:space="preserve"> that </w:t>
      </w:r>
      <w:proofErr w:type="spellStart"/>
      <w:r w:rsidR="00A642CB">
        <w:t>Jeemp</w:t>
      </w:r>
      <w:proofErr w:type="spellEnd"/>
      <w:r w:rsidR="00A642CB">
        <w:t xml:space="preserve"> Farms stop producing </w:t>
      </w:r>
      <w:r w:rsidR="00CC0D87">
        <w:t>trees</w:t>
      </w:r>
      <w:r w:rsidR="00EF37FF">
        <w:t xml:space="preserve"> altogether</w:t>
      </w:r>
      <w:r w:rsidR="00CC0D87">
        <w:t xml:space="preserve"> and focus solely on sod since the product margin per acre of sod is $15,345.55 as opposed to $46.05 </w:t>
      </w:r>
      <w:r w:rsidR="00000337">
        <w:t>for</w:t>
      </w:r>
      <w:r w:rsidR="00CC0D87">
        <w:t xml:space="preserve"> pecan trees.</w:t>
      </w:r>
      <w:r w:rsidR="00EF37FF">
        <w:t xml:space="preserve">  With </w:t>
      </w:r>
      <w:proofErr w:type="spellStart"/>
      <w:r w:rsidR="00EF37FF">
        <w:t>Jeemp</w:t>
      </w:r>
      <w:proofErr w:type="spellEnd"/>
      <w:r w:rsidR="00EF37FF">
        <w:t xml:space="preserve"> Farms’ product mix last year, revenue was $707,318.30.  If </w:t>
      </w:r>
      <w:proofErr w:type="spellStart"/>
      <w:r w:rsidR="00EF37FF">
        <w:t>Jeemp</w:t>
      </w:r>
      <w:proofErr w:type="spellEnd"/>
      <w:r w:rsidR="00EF37FF">
        <w:t xml:space="preserve"> Farms only produced sod on </w:t>
      </w:r>
      <w:proofErr w:type="spellStart"/>
      <w:r w:rsidR="00EF37FF">
        <w:t>it’s</w:t>
      </w:r>
      <w:proofErr w:type="spellEnd"/>
      <w:r w:rsidR="00EF37FF">
        <w:t xml:space="preserve"> approximately 290 acres, we estimated their revenue would be $4,800,312.00 at a per unit price of $0.38 for sod.  The opportunity cost for producing </w:t>
      </w:r>
      <w:r w:rsidR="00C70F89">
        <w:t xml:space="preserve">255 acres </w:t>
      </w:r>
      <w:r w:rsidR="00BE41EB">
        <w:t xml:space="preserve">of </w:t>
      </w:r>
      <w:r w:rsidR="00EF37FF">
        <w:t xml:space="preserve">pecan trees instead of sod is significant at $4.1 million.  </w:t>
      </w:r>
      <w:r w:rsidR="00042905">
        <w:t>In contrast, i</w:t>
      </w:r>
      <w:r w:rsidR="00EF37FF">
        <w:t xml:space="preserve">f </w:t>
      </w:r>
      <w:proofErr w:type="spellStart"/>
      <w:r w:rsidR="00EF37FF">
        <w:t>Jeemp</w:t>
      </w:r>
      <w:proofErr w:type="spellEnd"/>
      <w:r w:rsidR="00EF37FF">
        <w:t xml:space="preserve"> Farms produced only </w:t>
      </w:r>
      <w:r w:rsidR="00042905">
        <w:t>p</w:t>
      </w:r>
      <w:r w:rsidR="00EF37FF">
        <w:t xml:space="preserve">ecan </w:t>
      </w:r>
      <w:r w:rsidR="00042905">
        <w:t>t</w:t>
      </w:r>
      <w:r w:rsidR="00EF37FF">
        <w:t>rees on their 290 acres, their revenues would be $131,848.50.</w:t>
      </w:r>
    </w:p>
    <w:p w14:paraId="51954F3B" w14:textId="680D6DF0" w:rsidR="00EF37FF" w:rsidRDefault="00EF37FF" w:rsidP="003B6869">
      <w:pPr>
        <w:ind w:firstLine="720"/>
      </w:pPr>
    </w:p>
    <w:tbl>
      <w:tblPr>
        <w:tblStyle w:val="PlainTable5"/>
        <w:tblW w:w="6390" w:type="dxa"/>
        <w:jc w:val="center"/>
        <w:tblLook w:val="04A0" w:firstRow="1" w:lastRow="0" w:firstColumn="1" w:lastColumn="0" w:noHBand="0" w:noVBand="1"/>
      </w:tblPr>
      <w:tblGrid>
        <w:gridCol w:w="2790"/>
        <w:gridCol w:w="1800"/>
        <w:gridCol w:w="1800"/>
      </w:tblGrid>
      <w:tr w:rsidR="00EF37FF" w14:paraId="20D64641" w14:textId="77777777" w:rsidTr="00C70F8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790" w:type="dxa"/>
            <w:noWrap/>
            <w:hideMark/>
          </w:tcPr>
          <w:p w14:paraId="49A6CF27"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 </w:t>
            </w:r>
          </w:p>
        </w:tc>
        <w:tc>
          <w:tcPr>
            <w:tcW w:w="1800" w:type="dxa"/>
            <w:noWrap/>
            <w:hideMark/>
          </w:tcPr>
          <w:p w14:paraId="1F65F904" w14:textId="77777777" w:rsidR="00EF37FF" w:rsidRDefault="00EF37FF" w:rsidP="00C70F8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Pecan Trees</w:t>
            </w:r>
          </w:p>
        </w:tc>
        <w:tc>
          <w:tcPr>
            <w:tcW w:w="1800" w:type="dxa"/>
            <w:noWrap/>
            <w:hideMark/>
          </w:tcPr>
          <w:p w14:paraId="260ECCDF" w14:textId="77777777" w:rsidR="00EF37FF" w:rsidRDefault="00EF37FF" w:rsidP="00C70F8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Sod</w:t>
            </w:r>
          </w:p>
        </w:tc>
      </w:tr>
      <w:tr w:rsidR="00EF37FF" w14:paraId="77866EC1" w14:textId="77777777" w:rsidTr="00C70F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751EAC7"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 xml:space="preserve">Approximate Total Acres </w:t>
            </w:r>
          </w:p>
        </w:tc>
        <w:tc>
          <w:tcPr>
            <w:tcW w:w="1800" w:type="dxa"/>
            <w:noWrap/>
            <w:hideMark/>
          </w:tcPr>
          <w:p w14:paraId="7CA8B2D9"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290 </w:t>
            </w:r>
          </w:p>
        </w:tc>
        <w:tc>
          <w:tcPr>
            <w:tcW w:w="1800" w:type="dxa"/>
            <w:noWrap/>
            <w:hideMark/>
          </w:tcPr>
          <w:p w14:paraId="6EE237E0"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290 </w:t>
            </w:r>
          </w:p>
        </w:tc>
      </w:tr>
      <w:tr w:rsidR="00EF37FF" w14:paraId="37C364A1" w14:textId="77777777" w:rsidTr="00C70F89">
        <w:trPr>
          <w:trHeight w:val="30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7B53CEFB"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Maximum Units/Acre</w:t>
            </w:r>
          </w:p>
        </w:tc>
        <w:tc>
          <w:tcPr>
            <w:tcW w:w="1800" w:type="dxa"/>
            <w:noWrap/>
            <w:hideMark/>
          </w:tcPr>
          <w:p w14:paraId="5938708A"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35 </w:t>
            </w:r>
          </w:p>
        </w:tc>
        <w:tc>
          <w:tcPr>
            <w:tcW w:w="1800" w:type="dxa"/>
            <w:noWrap/>
            <w:hideMark/>
          </w:tcPr>
          <w:p w14:paraId="654233A0"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43,560 </w:t>
            </w:r>
          </w:p>
        </w:tc>
      </w:tr>
      <w:tr w:rsidR="00EF37FF" w14:paraId="19D779F4" w14:textId="77777777" w:rsidTr="00C70F8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5DF856B8"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Maximum Units Produced</w:t>
            </w:r>
          </w:p>
        </w:tc>
        <w:tc>
          <w:tcPr>
            <w:tcW w:w="1800" w:type="dxa"/>
            <w:noWrap/>
            <w:hideMark/>
          </w:tcPr>
          <w:p w14:paraId="1B23AFB5"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10,150 </w:t>
            </w:r>
          </w:p>
        </w:tc>
        <w:tc>
          <w:tcPr>
            <w:tcW w:w="1800" w:type="dxa"/>
            <w:noWrap/>
            <w:hideMark/>
          </w:tcPr>
          <w:p w14:paraId="43186495"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12,632,400 </w:t>
            </w:r>
          </w:p>
        </w:tc>
      </w:tr>
      <w:tr w:rsidR="00EF37FF" w14:paraId="245BED81" w14:textId="77777777" w:rsidTr="00C70F89">
        <w:trPr>
          <w:trHeight w:val="30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7A6E469A" w14:textId="77777777" w:rsidR="00EF37FF" w:rsidRDefault="00EF37FF" w:rsidP="00C70F89">
            <w:pPr>
              <w:rPr>
                <w:rFonts w:ascii="Calibri" w:hAnsi="Calibri" w:cs="Calibri"/>
                <w:color w:val="000000"/>
                <w:sz w:val="22"/>
                <w:szCs w:val="22"/>
              </w:rPr>
            </w:pPr>
          </w:p>
        </w:tc>
        <w:tc>
          <w:tcPr>
            <w:tcW w:w="1800" w:type="dxa"/>
            <w:noWrap/>
            <w:hideMark/>
          </w:tcPr>
          <w:p w14:paraId="73976E4A"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1800" w:type="dxa"/>
            <w:noWrap/>
            <w:hideMark/>
          </w:tcPr>
          <w:p w14:paraId="136EFFE7"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EF37FF" w14:paraId="2410F228" w14:textId="77777777" w:rsidTr="00C70F8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75B32442"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Price Per Product</w:t>
            </w:r>
          </w:p>
        </w:tc>
        <w:tc>
          <w:tcPr>
            <w:tcW w:w="1800" w:type="dxa"/>
            <w:noWrap/>
            <w:hideMark/>
          </w:tcPr>
          <w:p w14:paraId="7482F33B"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12.99 </w:t>
            </w:r>
          </w:p>
        </w:tc>
        <w:tc>
          <w:tcPr>
            <w:tcW w:w="1800" w:type="dxa"/>
            <w:noWrap/>
            <w:hideMark/>
          </w:tcPr>
          <w:p w14:paraId="5EBA16FE"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                   0.38 </w:t>
            </w:r>
          </w:p>
        </w:tc>
      </w:tr>
      <w:tr w:rsidR="00EF37FF" w14:paraId="21D634D2" w14:textId="77777777" w:rsidTr="00C70F89">
        <w:trPr>
          <w:trHeight w:val="300"/>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926A0E1" w14:textId="77777777" w:rsidR="00EF37FF" w:rsidRDefault="00EF37FF" w:rsidP="00C70F89">
            <w:pPr>
              <w:rPr>
                <w:rFonts w:ascii="Calibri" w:hAnsi="Calibri" w:cs="Calibri"/>
                <w:color w:val="000000"/>
                <w:sz w:val="22"/>
                <w:szCs w:val="22"/>
              </w:rPr>
            </w:pPr>
          </w:p>
        </w:tc>
        <w:tc>
          <w:tcPr>
            <w:tcW w:w="1800" w:type="dxa"/>
            <w:noWrap/>
            <w:hideMark/>
          </w:tcPr>
          <w:p w14:paraId="19F6A1FF"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1800" w:type="dxa"/>
            <w:noWrap/>
            <w:hideMark/>
          </w:tcPr>
          <w:p w14:paraId="25B16757" w14:textId="77777777" w:rsidR="00EF37FF" w:rsidRDefault="00EF37FF" w:rsidP="00C70F89">
            <w:pPr>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EF37FF" w14:paraId="563A7F92" w14:textId="77777777" w:rsidTr="00C70F8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790" w:type="dxa"/>
            <w:noWrap/>
            <w:hideMark/>
          </w:tcPr>
          <w:p w14:paraId="31B52951" w14:textId="77777777" w:rsidR="00EF37FF" w:rsidRDefault="00EF37FF" w:rsidP="00C70F89">
            <w:pPr>
              <w:rPr>
                <w:rFonts w:ascii="Calibri" w:hAnsi="Calibri" w:cs="Calibri"/>
                <w:color w:val="000000"/>
                <w:sz w:val="22"/>
                <w:szCs w:val="22"/>
              </w:rPr>
            </w:pPr>
            <w:r>
              <w:rPr>
                <w:rFonts w:ascii="Calibri" w:hAnsi="Calibri" w:cs="Calibri"/>
                <w:color w:val="000000"/>
                <w:sz w:val="22"/>
                <w:szCs w:val="22"/>
              </w:rPr>
              <w:t>Total Revenue</w:t>
            </w:r>
          </w:p>
        </w:tc>
        <w:tc>
          <w:tcPr>
            <w:tcW w:w="1800" w:type="dxa"/>
            <w:noWrap/>
            <w:hideMark/>
          </w:tcPr>
          <w:p w14:paraId="0DFED7C7"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w:t>
            </w:r>
            <w:proofErr w:type="gramStart"/>
            <w:r>
              <w:rPr>
                <w:rFonts w:ascii="Calibri" w:hAnsi="Calibri" w:cs="Calibri"/>
                <w:color w:val="000000"/>
                <w:sz w:val="22"/>
                <w:szCs w:val="22"/>
              </w:rPr>
              <w:t>$  131,848.50</w:t>
            </w:r>
            <w:proofErr w:type="gramEnd"/>
            <w:r>
              <w:rPr>
                <w:rFonts w:ascii="Calibri" w:hAnsi="Calibri" w:cs="Calibri"/>
                <w:color w:val="000000"/>
                <w:sz w:val="22"/>
                <w:szCs w:val="22"/>
              </w:rPr>
              <w:t xml:space="preserve"> </w:t>
            </w:r>
          </w:p>
        </w:tc>
        <w:tc>
          <w:tcPr>
            <w:tcW w:w="1800" w:type="dxa"/>
            <w:noWrap/>
            <w:hideMark/>
          </w:tcPr>
          <w:p w14:paraId="04A8AE7C" w14:textId="77777777" w:rsidR="00EF37FF" w:rsidRDefault="00EF37FF" w:rsidP="00C70F8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xml:space="preserve"> </w:t>
            </w:r>
            <w:proofErr w:type="gramStart"/>
            <w:r>
              <w:rPr>
                <w:rFonts w:ascii="Calibri" w:hAnsi="Calibri" w:cs="Calibri"/>
                <w:color w:val="000000"/>
                <w:sz w:val="22"/>
                <w:szCs w:val="22"/>
              </w:rPr>
              <w:t>$  4,800,312.00</w:t>
            </w:r>
            <w:proofErr w:type="gramEnd"/>
            <w:r>
              <w:rPr>
                <w:rFonts w:ascii="Calibri" w:hAnsi="Calibri" w:cs="Calibri"/>
                <w:color w:val="000000"/>
                <w:sz w:val="22"/>
                <w:szCs w:val="22"/>
              </w:rPr>
              <w:t xml:space="preserve"> </w:t>
            </w:r>
          </w:p>
        </w:tc>
      </w:tr>
    </w:tbl>
    <w:p w14:paraId="33C9594B" w14:textId="77777777" w:rsidR="003B6869" w:rsidRDefault="003B6869" w:rsidP="003B6869">
      <w:pPr>
        <w:pStyle w:val="NormalWeb"/>
        <w:shd w:val="clear" w:color="auto" w:fill="FFFFFF"/>
        <w:spacing w:before="0" w:beforeAutospacing="0" w:after="240" w:afterAutospacing="0"/>
        <w:textAlignment w:val="baseline"/>
        <w:rPr>
          <w:color w:val="262626"/>
        </w:rPr>
      </w:pPr>
    </w:p>
    <w:p w14:paraId="345A1E55" w14:textId="710C8AC7" w:rsidR="003B6869" w:rsidRDefault="00000337" w:rsidP="00042905">
      <w:pPr>
        <w:ind w:firstLine="720"/>
      </w:pPr>
      <w:r>
        <w:t xml:space="preserve">This activity-based costing analysis is clear, but other methods of analysis could be considered.  </w:t>
      </w:r>
      <w:r w:rsidR="003B6869">
        <w:t>An</w:t>
      </w:r>
      <w:r w:rsidR="009D368A">
        <w:t xml:space="preserve"> additional method of analysis </w:t>
      </w:r>
      <w:r w:rsidR="003B6869">
        <w:t>that c</w:t>
      </w:r>
      <w:r w:rsidR="009D368A">
        <w:t xml:space="preserve">ould be </w:t>
      </w:r>
      <w:r>
        <w:t>use</w:t>
      </w:r>
      <w:r w:rsidR="009D368A">
        <w:t>d</w:t>
      </w:r>
      <w:r w:rsidR="003B6869">
        <w:t xml:space="preserve"> is Limitation of Absorption Costing. Under this approach the value is used to decide the complete cost. This technique ignores the sales extent &amp; profitability factor. Therefore, if this costing methodology is adopted and if the sales extent is dropped then the fee will be a great deal higher and it will not be feasible to s</w:t>
      </w:r>
      <w:r>
        <w:t>ell</w:t>
      </w:r>
      <w:r w:rsidR="003B6869">
        <w:t xml:space="preserve"> the products at profit. Another method </w:t>
      </w:r>
      <w:r w:rsidR="00562C92">
        <w:t>could</w:t>
      </w:r>
      <w:r w:rsidR="003B6869">
        <w:t xml:space="preserve"> be the marginal costing approach which will furnish the management a better notion about the exchange in price for each change in production volume. This will help the administration to price the products suitably. Since this manner does </w:t>
      </w:r>
      <w:r w:rsidR="00562C92">
        <w:t>not consider</w:t>
      </w:r>
      <w:r w:rsidR="003B6869">
        <w:t xml:space="preserve"> all costs, the costing will be favorable below this price method. However, the net income will remain the same.</w:t>
      </w:r>
    </w:p>
    <w:p w14:paraId="4FACDFAC" w14:textId="77777777" w:rsidR="00B35728" w:rsidRDefault="00B35728" w:rsidP="00B35728">
      <w:pPr>
        <w:shd w:val="clear" w:color="auto" w:fill="FFFFFF"/>
        <w:ind w:firstLine="720"/>
        <w:rPr>
          <w:color w:val="333333"/>
        </w:rPr>
      </w:pPr>
    </w:p>
    <w:p w14:paraId="4B10270C" w14:textId="751EFE28" w:rsidR="00B35728" w:rsidRDefault="00701534" w:rsidP="00D62C9D">
      <w:pPr>
        <w:ind w:firstLine="720"/>
      </w:pPr>
      <w:r>
        <w:t xml:space="preserve">For </w:t>
      </w:r>
      <w:proofErr w:type="gramStart"/>
      <w:r>
        <w:t>activity based</w:t>
      </w:r>
      <w:proofErr w:type="gramEnd"/>
      <w:r>
        <w:t xml:space="preserve"> costing, a</w:t>
      </w:r>
      <w:r w:rsidR="00D62C9D">
        <w:t xml:space="preserve">dditional information </w:t>
      </w:r>
      <w:r>
        <w:t xml:space="preserve">needed </w:t>
      </w:r>
      <w:r w:rsidR="00D62C9D">
        <w:t>will include information relating to the costs of resources that have been consumed over a given period.</w:t>
      </w:r>
      <w:r w:rsidR="00D62C9D">
        <w:t xml:space="preserve">  </w:t>
      </w:r>
      <w:r w:rsidR="00B35728">
        <w:t xml:space="preserve">This is to be able to assign costs to each activity and </w:t>
      </w:r>
      <w:r w:rsidR="00D62C9D">
        <w:t>to</w:t>
      </w:r>
      <w:r w:rsidR="00B35728">
        <w:t xml:space="preserve"> determine essential and nonessential activities. Th</w:t>
      </w:r>
      <w:r w:rsidR="00D62C9D">
        <w:t>is</w:t>
      </w:r>
      <w:r w:rsidR="00B35728">
        <w:t xml:space="preserve"> information will be </w:t>
      </w:r>
      <w:r w:rsidR="00D62C9D">
        <w:t xml:space="preserve">important </w:t>
      </w:r>
      <w:r w:rsidR="00B35728">
        <w:t xml:space="preserve">when analyzing whether </w:t>
      </w:r>
      <w:r w:rsidR="00B35728">
        <w:t xml:space="preserve">an </w:t>
      </w:r>
      <w:r w:rsidR="00B35728">
        <w:t xml:space="preserve">activity-based </w:t>
      </w:r>
      <w:r w:rsidR="00D62C9D">
        <w:t xml:space="preserve">costing </w:t>
      </w:r>
      <w:r w:rsidR="00B35728">
        <w:t xml:space="preserve">system would be beneficial to Mr. </w:t>
      </w:r>
      <w:proofErr w:type="spellStart"/>
      <w:r w:rsidR="00B35728">
        <w:t>Beridon</w:t>
      </w:r>
      <w:proofErr w:type="spellEnd"/>
      <w:r w:rsidR="00B35728">
        <w:t>, because it will be used to determine which</w:t>
      </w:r>
      <w:r w:rsidR="00D62C9D">
        <w:t xml:space="preserve"> activities or costs can be </w:t>
      </w:r>
      <w:r w:rsidR="00D62C9D">
        <w:lastRenderedPageBreak/>
        <w:t>reduced</w:t>
      </w:r>
      <w:r w:rsidR="00B35728">
        <w:t>.</w:t>
      </w:r>
      <w:r w:rsidR="00D62C9D">
        <w:t xml:space="preserve">  </w:t>
      </w:r>
      <w:r w:rsidR="00B35728" w:rsidRPr="00C979EE">
        <w:t xml:space="preserve">Traditional costing is more simplistic and less accurate and assigns overhead costs to products based on an arbitrary average rate. </w:t>
      </w:r>
      <w:r w:rsidR="00B35728" w:rsidRPr="006272E9">
        <w:t>Traditional costing is optimal when indirect costs are low compared to direct costs.</w:t>
      </w:r>
      <w:r w:rsidR="00D62C9D">
        <w:t xml:space="preserve">  </w:t>
      </w:r>
      <w:r w:rsidR="00D62C9D">
        <w:t>Activity-based</w:t>
      </w:r>
      <w:r w:rsidR="00D62C9D" w:rsidRPr="00C979EE">
        <w:t xml:space="preserve"> </w:t>
      </w:r>
      <w:r w:rsidR="00D62C9D">
        <w:t xml:space="preserve">costing </w:t>
      </w:r>
      <w:r w:rsidR="00D62C9D" w:rsidRPr="00C979EE">
        <w:t>is more complex and more accurate than traditional costing.</w:t>
      </w:r>
      <w:r w:rsidR="00D62C9D">
        <w:t xml:space="preserve"> </w:t>
      </w:r>
      <w:r w:rsidR="00B35728" w:rsidRPr="00AE5D83">
        <w:t xml:space="preserve">This is because </w:t>
      </w:r>
      <w:r>
        <w:t>it</w:t>
      </w:r>
      <w:r w:rsidR="00B35728" w:rsidRPr="00AE5D83">
        <w:t xml:space="preserve"> provide</w:t>
      </w:r>
      <w:r>
        <w:t>s</w:t>
      </w:r>
      <w:r w:rsidR="00B35728" w:rsidRPr="00AE5D83">
        <w:t xml:space="preserve"> a more precise breakdown of indirect costs.</w:t>
      </w:r>
      <w:r w:rsidR="00B35728">
        <w:t xml:space="preserve"> </w:t>
      </w:r>
    </w:p>
    <w:p w14:paraId="61C2DBD9" w14:textId="77777777" w:rsidR="00042905" w:rsidRDefault="00042905" w:rsidP="00042905"/>
    <w:p w14:paraId="163328FC" w14:textId="1344721B" w:rsidR="009D368A" w:rsidRDefault="00000337" w:rsidP="00042905">
      <w:pPr>
        <w:ind w:firstLine="720"/>
      </w:pPr>
      <w:bookmarkStart w:id="0" w:name="_Hlk21944679"/>
      <w:r>
        <w:t>Irregardless of which costing method is used, t</w:t>
      </w:r>
      <w:r w:rsidR="009D368A" w:rsidRPr="00330F74">
        <w:t xml:space="preserve">here are qualitative factors that need to be considered in the process of </w:t>
      </w:r>
      <w:proofErr w:type="gramStart"/>
      <w:r w:rsidR="009D368A" w:rsidRPr="00330F74">
        <w:t xml:space="preserve">making </w:t>
      </w:r>
      <w:r w:rsidR="00B35728">
        <w:t>a</w:t>
      </w:r>
      <w:r w:rsidR="009D368A" w:rsidRPr="00330F74">
        <w:t xml:space="preserve"> decision</w:t>
      </w:r>
      <w:proofErr w:type="gramEnd"/>
      <w:r>
        <w:t xml:space="preserve"> about the future </w:t>
      </w:r>
      <w:r w:rsidR="00B35728">
        <w:t xml:space="preserve">product mix </w:t>
      </w:r>
      <w:r>
        <w:t xml:space="preserve">of </w:t>
      </w:r>
      <w:proofErr w:type="spellStart"/>
      <w:r>
        <w:t>Jeemp</w:t>
      </w:r>
      <w:proofErr w:type="spellEnd"/>
      <w:r>
        <w:t xml:space="preserve"> Farms</w:t>
      </w:r>
      <w:r w:rsidR="009D368A" w:rsidRPr="00330F74">
        <w:t>.</w:t>
      </w:r>
      <w:r w:rsidR="009D368A">
        <w:t xml:space="preserve">  </w:t>
      </w:r>
      <w:r w:rsidR="009D368A" w:rsidRPr="00330F74">
        <w:t>Qualitative analysis is a subjective analysis and focuses more on the lesser impact as compared to the quantitative analysis that dwells more on the actual numbers (</w:t>
      </w:r>
      <w:proofErr w:type="spellStart"/>
      <w:r w:rsidR="009D368A" w:rsidRPr="00330F74">
        <w:t>Huarng</w:t>
      </w:r>
      <w:proofErr w:type="spellEnd"/>
      <w:r w:rsidR="009D368A" w:rsidRPr="00330F74">
        <w:t xml:space="preserve">, Rey-Martí &amp; Miquel-Romero, 2018). In terms of the qualitative factors, Mr. </w:t>
      </w:r>
      <w:proofErr w:type="spellStart"/>
      <w:r w:rsidR="009D368A" w:rsidRPr="00330F74">
        <w:t>Beridon</w:t>
      </w:r>
      <w:proofErr w:type="spellEnd"/>
      <w:r w:rsidR="009D368A" w:rsidRPr="00330F74">
        <w:t xml:space="preserve"> needs to consider the strength of his brand. This is important as he has managed to build a brand in the selling of </w:t>
      </w:r>
      <w:r w:rsidR="009D368A">
        <w:t xml:space="preserve">both </w:t>
      </w:r>
      <w:r w:rsidR="009D368A" w:rsidRPr="00330F74">
        <w:t>sod and trees,</w:t>
      </w:r>
      <w:r w:rsidR="009D368A">
        <w:t xml:space="preserve"> and</w:t>
      </w:r>
      <w:r w:rsidR="009D368A" w:rsidRPr="00330F74">
        <w:t xml:space="preserve"> he should analyze the impact that will be felt on his brand by the cutting of either of th</w:t>
      </w:r>
      <w:r w:rsidR="009D368A">
        <w:t>ose</w:t>
      </w:r>
      <w:r w:rsidR="009D368A" w:rsidRPr="00330F74">
        <w:t xml:space="preserve"> sectors. He had already created a brand of being a one stop shop and cutting down one sector may lead to a decline of the remaining sector.</w:t>
      </w:r>
    </w:p>
    <w:p w14:paraId="692AE9AB" w14:textId="77777777" w:rsidR="009D368A" w:rsidRPr="00330F74" w:rsidRDefault="009D368A" w:rsidP="009D368A">
      <w:pPr>
        <w:ind w:firstLine="720"/>
      </w:pPr>
    </w:p>
    <w:bookmarkEnd w:id="0"/>
    <w:p w14:paraId="0A30BC18" w14:textId="68458F9A" w:rsidR="003B6869" w:rsidRDefault="00000337" w:rsidP="003B6869">
      <w:pPr>
        <w:ind w:firstLine="720"/>
      </w:pPr>
      <w:r>
        <w:t xml:space="preserve">In conclusion, </w:t>
      </w:r>
      <w:r w:rsidR="00E46A12">
        <w:t>t</w:t>
      </w:r>
      <w:r w:rsidR="003B6869">
        <w:t xml:space="preserve">he results have offered </w:t>
      </w:r>
      <w:proofErr w:type="spellStart"/>
      <w:r w:rsidR="003B6869">
        <w:t>Jeemp</w:t>
      </w:r>
      <w:proofErr w:type="spellEnd"/>
      <w:r w:rsidR="003B6869">
        <w:t xml:space="preserve"> Farms a better look at their costs </w:t>
      </w:r>
      <w:r w:rsidR="00E46A12">
        <w:t>for each product.  The results indicate that i</w:t>
      </w:r>
      <w:r w:rsidR="003B6869">
        <w:t xml:space="preserve">ncreasing the sod </w:t>
      </w:r>
      <w:r w:rsidR="00E46A12">
        <w:t xml:space="preserve">business </w:t>
      </w:r>
      <w:r w:rsidR="003B6869">
        <w:t xml:space="preserve">can be a </w:t>
      </w:r>
      <w:r w:rsidR="00E46A12">
        <w:t xml:space="preserve">very </w:t>
      </w:r>
      <w:r w:rsidR="003B6869">
        <w:t>positive move</w:t>
      </w:r>
      <w:r w:rsidR="00047AA6">
        <w:t xml:space="preserve"> for </w:t>
      </w:r>
      <w:proofErr w:type="spellStart"/>
      <w:r w:rsidR="00047AA6">
        <w:t>Jeemp</w:t>
      </w:r>
      <w:proofErr w:type="spellEnd"/>
      <w:r w:rsidR="00047AA6">
        <w:t xml:space="preserve"> Farms</w:t>
      </w:r>
      <w:r w:rsidR="00E46A12">
        <w:t>.  Also, a</w:t>
      </w:r>
      <w:r w:rsidR="00E46A12">
        <w:t>fter analyzing the differences between the two</w:t>
      </w:r>
      <w:r w:rsidR="00E46A12">
        <w:t xml:space="preserve"> costing</w:t>
      </w:r>
      <w:r w:rsidR="00E46A12">
        <w:t xml:space="preserve"> methods, it would be beneficial for Mr. </w:t>
      </w:r>
      <w:proofErr w:type="spellStart"/>
      <w:r w:rsidR="00E46A12">
        <w:t>Beridon</w:t>
      </w:r>
      <w:proofErr w:type="spellEnd"/>
      <w:r w:rsidR="00E46A12">
        <w:t xml:space="preserve"> to choose the activity-based costing method over the traditional</w:t>
      </w:r>
      <w:r w:rsidR="00E46A12">
        <w:t xml:space="preserve"> costing method</w:t>
      </w:r>
      <w:r w:rsidR="00E46A12">
        <w:t>.</w:t>
      </w:r>
      <w:r w:rsidR="00E46A12">
        <w:t xml:space="preserve">  </w:t>
      </w:r>
      <w:bookmarkStart w:id="1" w:name="_GoBack"/>
      <w:bookmarkEnd w:id="1"/>
    </w:p>
    <w:p w14:paraId="222EE4DD" w14:textId="7C0EBDCF" w:rsidR="00F70CFC" w:rsidRDefault="00F70CFC" w:rsidP="003B6869">
      <w:pPr>
        <w:ind w:firstLine="720"/>
      </w:pPr>
    </w:p>
    <w:sdt>
      <w:sdtPr>
        <w:rPr>
          <w:rFonts w:ascii="Times New Roman" w:eastAsia="Times New Roman" w:hAnsi="Times New Roman" w:cs="Times New Roman"/>
          <w:color w:val="auto"/>
          <w:sz w:val="24"/>
          <w:szCs w:val="24"/>
        </w:rPr>
        <w:id w:val="1161431300"/>
        <w:docPartObj>
          <w:docPartGallery w:val="Bibliographies"/>
          <w:docPartUnique/>
        </w:docPartObj>
      </w:sdtPr>
      <w:sdtEndPr>
        <w:rPr>
          <w:b/>
          <w:bCs/>
        </w:rPr>
      </w:sdtEndPr>
      <w:sdtContent>
        <w:p w14:paraId="4C804EC1" w14:textId="4F1CE580" w:rsidR="00F70CFC" w:rsidRDefault="00F70CFC">
          <w:pPr>
            <w:pStyle w:val="Heading1"/>
          </w:pPr>
          <w:r>
            <w:t>Works Cited</w:t>
          </w:r>
        </w:p>
        <w:p w14:paraId="40DE02DD" w14:textId="77777777" w:rsidR="009D368A" w:rsidRDefault="00F70CFC" w:rsidP="009D368A">
          <w:pPr>
            <w:pStyle w:val="Bibliography"/>
            <w:ind w:left="720" w:hanging="720"/>
            <w:rPr>
              <w:noProof/>
            </w:rPr>
          </w:pPr>
          <w:r>
            <w:fldChar w:fldCharType="begin"/>
          </w:r>
          <w:r>
            <w:instrText xml:space="preserve"> BIBLIOGRAPHY </w:instrText>
          </w:r>
          <w:r>
            <w:fldChar w:fldCharType="separate"/>
          </w:r>
          <w:r w:rsidR="009D368A">
            <w:rPr>
              <w:noProof/>
            </w:rPr>
            <w:t xml:space="preserve">Hazell, A. (2019, July 20). </w:t>
          </w:r>
          <w:r w:rsidR="009D368A">
            <w:rPr>
              <w:i/>
              <w:iCs/>
              <w:noProof/>
            </w:rPr>
            <w:t>How Big Is An Acre? Explained.</w:t>
          </w:r>
          <w:r w:rsidR="009D368A">
            <w:rPr>
              <w:noProof/>
            </w:rPr>
            <w:t xml:space="preserve"> Retrieved from the Calculator site: https://www.thecalculatorsite.com/articles/units/how-big-is-an-acre.php</w:t>
          </w:r>
        </w:p>
        <w:p w14:paraId="2020A623" w14:textId="04E47E1D" w:rsidR="009D368A" w:rsidRDefault="009D368A" w:rsidP="009D368A">
          <w:pPr>
            <w:pStyle w:val="Bibliography"/>
            <w:ind w:left="720" w:hanging="720"/>
            <w:rPr>
              <w:noProof/>
            </w:rPr>
          </w:pPr>
          <w:r>
            <w:rPr>
              <w:noProof/>
            </w:rPr>
            <w:t xml:space="preserve">Monte Nesbitt, R. H. (2014, November). </w:t>
          </w:r>
          <w:r>
            <w:rPr>
              <w:i/>
              <w:iCs/>
              <w:noProof/>
            </w:rPr>
            <w:t>Estimation of Pecan Tree Value.</w:t>
          </w:r>
          <w:r>
            <w:rPr>
              <w:noProof/>
            </w:rPr>
            <w:t xml:space="preserve"> Retrieved from Texas A&amp;M: http://counties.agrilife.org/valverde/files/2014/11/Estimation-of-Pecan-Tree-Value.pdf</w:t>
          </w:r>
        </w:p>
        <w:p w14:paraId="026AEF27" w14:textId="77777777" w:rsidR="009D368A" w:rsidRPr="00330F74" w:rsidRDefault="009D368A" w:rsidP="009D368A">
          <w:pPr>
            <w:ind w:left="720" w:hanging="720"/>
          </w:pPr>
          <w:r w:rsidRPr="00330F74">
            <w:t>Huarng, K. H., Rey-Martí, A., &amp; Miquel-Romero, M. J. (2018). Quantitative and qualitative comparative analysis in business.</w:t>
          </w:r>
        </w:p>
        <w:p w14:paraId="4CC6D1C9" w14:textId="77777777" w:rsidR="009D368A" w:rsidRPr="009D368A" w:rsidRDefault="009D368A" w:rsidP="009D368A"/>
        <w:p w14:paraId="715A2E4F" w14:textId="215B857E" w:rsidR="00F70CFC" w:rsidRDefault="00F70CFC" w:rsidP="009D368A">
          <w:r>
            <w:rPr>
              <w:b/>
              <w:bCs/>
            </w:rPr>
            <w:fldChar w:fldCharType="end"/>
          </w:r>
        </w:p>
      </w:sdtContent>
    </w:sdt>
    <w:p w14:paraId="5C94B1FF" w14:textId="4C679392" w:rsidR="00F70CFC" w:rsidRDefault="00D60BD7" w:rsidP="00F70CFC">
      <w:pPr>
        <w:rPr>
          <w:b/>
          <w:bCs/>
        </w:rPr>
      </w:pPr>
      <w:r>
        <w:rPr>
          <w:b/>
          <w:bCs/>
        </w:rPr>
        <w:t>Please</w:t>
      </w:r>
      <w:r w:rsidR="00F70CFC" w:rsidRPr="00F70CFC">
        <w:rPr>
          <w:b/>
          <w:bCs/>
        </w:rPr>
        <w:t xml:space="preserve"> see “</w:t>
      </w:r>
      <w:proofErr w:type="spellStart"/>
      <w:r w:rsidR="00F70CFC" w:rsidRPr="00F70CFC">
        <w:rPr>
          <w:b/>
          <w:bCs/>
        </w:rPr>
        <w:t>Jeemp</w:t>
      </w:r>
      <w:proofErr w:type="spellEnd"/>
      <w:r w:rsidR="00F70CFC" w:rsidRPr="00F70CFC">
        <w:rPr>
          <w:b/>
          <w:bCs/>
        </w:rPr>
        <w:t xml:space="preserve"> Farms.xlsx” </w:t>
      </w:r>
      <w:r>
        <w:rPr>
          <w:b/>
          <w:bCs/>
        </w:rPr>
        <w:t xml:space="preserve">(embedded below) </w:t>
      </w:r>
      <w:r w:rsidR="00F70CFC" w:rsidRPr="00F70CFC">
        <w:rPr>
          <w:b/>
          <w:bCs/>
        </w:rPr>
        <w:t>for calculations referenced in this paper.</w:t>
      </w:r>
    </w:p>
    <w:p w14:paraId="3C951597" w14:textId="3E6A1B9F" w:rsidR="003D5E81" w:rsidRDefault="003D5E81" w:rsidP="00F70CFC">
      <w:pPr>
        <w:rPr>
          <w:b/>
          <w:bCs/>
        </w:rPr>
      </w:pPr>
    </w:p>
    <w:p w14:paraId="07B26D78" w14:textId="5C9A826F" w:rsidR="003D5E81" w:rsidRDefault="003D5E81" w:rsidP="00F70CFC">
      <w:pPr>
        <w:rPr>
          <w:b/>
          <w:bCs/>
        </w:rPr>
      </w:pPr>
      <w:r>
        <w:rPr>
          <w:b/>
          <w:bCs/>
        </w:rPr>
        <w:object w:dxaOrig="1540" w:dyaOrig="997" w14:anchorId="36EF4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7" o:title=""/>
          </v:shape>
          <o:OLEObject Type="Embed" ProgID="Excel.Sheet.12" ShapeID="_x0000_i1025" DrawAspect="Icon" ObjectID="_1632566103" r:id="rId8"/>
        </w:object>
      </w:r>
    </w:p>
    <w:p w14:paraId="0B84CDBE" w14:textId="77777777" w:rsidR="00F70CFC" w:rsidRPr="00F70CFC" w:rsidRDefault="00F70CFC" w:rsidP="00F70CFC">
      <w:pPr>
        <w:rPr>
          <w:b/>
          <w:bCs/>
        </w:rPr>
      </w:pPr>
    </w:p>
    <w:p w14:paraId="0C82EDF5" w14:textId="77777777" w:rsidR="00F70CFC" w:rsidRDefault="00F70CFC" w:rsidP="003B6869">
      <w:pPr>
        <w:ind w:firstLine="720"/>
      </w:pPr>
    </w:p>
    <w:sectPr w:rsidR="00F70CFC" w:rsidSect="007265A5">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C11E6" w14:textId="77777777" w:rsidR="003C2F4C" w:rsidRDefault="003C2F4C" w:rsidP="00604DEB">
      <w:r>
        <w:separator/>
      </w:r>
    </w:p>
  </w:endnote>
  <w:endnote w:type="continuationSeparator" w:id="0">
    <w:p w14:paraId="1D390B3C" w14:textId="77777777" w:rsidR="003C2F4C" w:rsidRDefault="003C2F4C" w:rsidP="0060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174A7" w14:textId="77777777" w:rsidR="003C2F4C" w:rsidRDefault="003C2F4C" w:rsidP="00604DEB">
      <w:r>
        <w:separator/>
      </w:r>
    </w:p>
  </w:footnote>
  <w:footnote w:type="continuationSeparator" w:id="0">
    <w:p w14:paraId="0DD1B577" w14:textId="77777777" w:rsidR="003C2F4C" w:rsidRDefault="003C2F4C" w:rsidP="00604D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69"/>
    <w:rsid w:val="00000337"/>
    <w:rsid w:val="00042905"/>
    <w:rsid w:val="00047AA6"/>
    <w:rsid w:val="001E7408"/>
    <w:rsid w:val="003A6FBE"/>
    <w:rsid w:val="003B6869"/>
    <w:rsid w:val="003C2F4C"/>
    <w:rsid w:val="003D5E81"/>
    <w:rsid w:val="003F1D3F"/>
    <w:rsid w:val="00421A6E"/>
    <w:rsid w:val="00436D5C"/>
    <w:rsid w:val="005416AB"/>
    <w:rsid w:val="00557F18"/>
    <w:rsid w:val="00562C92"/>
    <w:rsid w:val="00583AB3"/>
    <w:rsid w:val="00594969"/>
    <w:rsid w:val="005961CC"/>
    <w:rsid w:val="005D646C"/>
    <w:rsid w:val="00604DEB"/>
    <w:rsid w:val="006B4B69"/>
    <w:rsid w:val="00701534"/>
    <w:rsid w:val="00723E73"/>
    <w:rsid w:val="007265A5"/>
    <w:rsid w:val="007A38D2"/>
    <w:rsid w:val="0089122F"/>
    <w:rsid w:val="008E3A6B"/>
    <w:rsid w:val="00912F49"/>
    <w:rsid w:val="009A18F0"/>
    <w:rsid w:val="009D368A"/>
    <w:rsid w:val="00A1208E"/>
    <w:rsid w:val="00A3053D"/>
    <w:rsid w:val="00A40F07"/>
    <w:rsid w:val="00A543EA"/>
    <w:rsid w:val="00A642CB"/>
    <w:rsid w:val="00B35728"/>
    <w:rsid w:val="00BE41EB"/>
    <w:rsid w:val="00C70F89"/>
    <w:rsid w:val="00C84A7E"/>
    <w:rsid w:val="00CC0D87"/>
    <w:rsid w:val="00D373FE"/>
    <w:rsid w:val="00D60BD7"/>
    <w:rsid w:val="00D62C9D"/>
    <w:rsid w:val="00E46A12"/>
    <w:rsid w:val="00EF37FF"/>
    <w:rsid w:val="00F70CFC"/>
    <w:rsid w:val="00F76655"/>
    <w:rsid w:val="00F829D2"/>
    <w:rsid w:val="00FD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1ECEA"/>
  <w15:chartTrackingRefBased/>
  <w15:docId w15:val="{035908A5-433A-4B64-A7F0-1FB3E225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F70CFC"/>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6869"/>
    <w:pPr>
      <w:spacing w:before="100" w:beforeAutospacing="1" w:after="100" w:afterAutospacing="1"/>
    </w:pPr>
  </w:style>
  <w:style w:type="table" w:styleId="PlainTable5">
    <w:name w:val="Plain Table 5"/>
    <w:basedOn w:val="TableNormal"/>
    <w:uiPriority w:val="45"/>
    <w:rsid w:val="00C70F8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F70CF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70CFC"/>
  </w:style>
  <w:style w:type="paragraph" w:styleId="Header">
    <w:name w:val="header"/>
    <w:basedOn w:val="Normal"/>
    <w:link w:val="HeaderChar"/>
    <w:rsid w:val="00604DEB"/>
    <w:pPr>
      <w:tabs>
        <w:tab w:val="center" w:pos="4680"/>
        <w:tab w:val="right" w:pos="9360"/>
      </w:tabs>
    </w:pPr>
  </w:style>
  <w:style w:type="character" w:customStyle="1" w:styleId="HeaderChar">
    <w:name w:val="Header Char"/>
    <w:basedOn w:val="DefaultParagraphFont"/>
    <w:link w:val="Header"/>
    <w:rsid w:val="00604DEB"/>
    <w:rPr>
      <w:sz w:val="24"/>
      <w:szCs w:val="24"/>
    </w:rPr>
  </w:style>
  <w:style w:type="paragraph" w:styleId="Footer">
    <w:name w:val="footer"/>
    <w:basedOn w:val="Normal"/>
    <w:link w:val="FooterChar"/>
    <w:rsid w:val="00604DEB"/>
    <w:pPr>
      <w:tabs>
        <w:tab w:val="center" w:pos="4680"/>
        <w:tab w:val="right" w:pos="9360"/>
      </w:tabs>
    </w:pPr>
  </w:style>
  <w:style w:type="character" w:customStyle="1" w:styleId="FooterChar">
    <w:name w:val="Footer Char"/>
    <w:basedOn w:val="DefaultParagraphFont"/>
    <w:link w:val="Footer"/>
    <w:rsid w:val="00604D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2916">
      <w:bodyDiv w:val="1"/>
      <w:marLeft w:val="0"/>
      <w:marRight w:val="0"/>
      <w:marTop w:val="0"/>
      <w:marBottom w:val="0"/>
      <w:divBdr>
        <w:top w:val="none" w:sz="0" w:space="0" w:color="auto"/>
        <w:left w:val="none" w:sz="0" w:space="0" w:color="auto"/>
        <w:bottom w:val="none" w:sz="0" w:space="0" w:color="auto"/>
        <w:right w:val="none" w:sz="0" w:space="0" w:color="auto"/>
      </w:divBdr>
    </w:div>
    <w:div w:id="284897649">
      <w:bodyDiv w:val="1"/>
      <w:marLeft w:val="0"/>
      <w:marRight w:val="0"/>
      <w:marTop w:val="0"/>
      <w:marBottom w:val="0"/>
      <w:divBdr>
        <w:top w:val="none" w:sz="0" w:space="0" w:color="auto"/>
        <w:left w:val="none" w:sz="0" w:space="0" w:color="auto"/>
        <w:bottom w:val="none" w:sz="0" w:space="0" w:color="auto"/>
        <w:right w:val="none" w:sz="0" w:space="0" w:color="auto"/>
      </w:divBdr>
    </w:div>
    <w:div w:id="479615103">
      <w:bodyDiv w:val="1"/>
      <w:marLeft w:val="0"/>
      <w:marRight w:val="0"/>
      <w:marTop w:val="0"/>
      <w:marBottom w:val="0"/>
      <w:divBdr>
        <w:top w:val="none" w:sz="0" w:space="0" w:color="auto"/>
        <w:left w:val="none" w:sz="0" w:space="0" w:color="auto"/>
        <w:bottom w:val="none" w:sz="0" w:space="0" w:color="auto"/>
        <w:right w:val="none" w:sz="0" w:space="0" w:color="auto"/>
      </w:divBdr>
    </w:div>
    <w:div w:id="503280742">
      <w:bodyDiv w:val="1"/>
      <w:marLeft w:val="0"/>
      <w:marRight w:val="0"/>
      <w:marTop w:val="0"/>
      <w:marBottom w:val="0"/>
      <w:divBdr>
        <w:top w:val="none" w:sz="0" w:space="0" w:color="auto"/>
        <w:left w:val="none" w:sz="0" w:space="0" w:color="auto"/>
        <w:bottom w:val="none" w:sz="0" w:space="0" w:color="auto"/>
        <w:right w:val="none" w:sz="0" w:space="0" w:color="auto"/>
      </w:divBdr>
    </w:div>
    <w:div w:id="732890279">
      <w:bodyDiv w:val="1"/>
      <w:marLeft w:val="0"/>
      <w:marRight w:val="0"/>
      <w:marTop w:val="0"/>
      <w:marBottom w:val="0"/>
      <w:divBdr>
        <w:top w:val="none" w:sz="0" w:space="0" w:color="auto"/>
        <w:left w:val="none" w:sz="0" w:space="0" w:color="auto"/>
        <w:bottom w:val="none" w:sz="0" w:space="0" w:color="auto"/>
        <w:right w:val="none" w:sz="0" w:space="0" w:color="auto"/>
      </w:divBdr>
    </w:div>
    <w:div w:id="742799039">
      <w:bodyDiv w:val="1"/>
      <w:marLeft w:val="0"/>
      <w:marRight w:val="0"/>
      <w:marTop w:val="0"/>
      <w:marBottom w:val="0"/>
      <w:divBdr>
        <w:top w:val="none" w:sz="0" w:space="0" w:color="auto"/>
        <w:left w:val="none" w:sz="0" w:space="0" w:color="auto"/>
        <w:bottom w:val="none" w:sz="0" w:space="0" w:color="auto"/>
        <w:right w:val="none" w:sz="0" w:space="0" w:color="auto"/>
      </w:divBdr>
    </w:div>
    <w:div w:id="949581210">
      <w:bodyDiv w:val="1"/>
      <w:marLeft w:val="0"/>
      <w:marRight w:val="0"/>
      <w:marTop w:val="0"/>
      <w:marBottom w:val="0"/>
      <w:divBdr>
        <w:top w:val="none" w:sz="0" w:space="0" w:color="auto"/>
        <w:left w:val="none" w:sz="0" w:space="0" w:color="auto"/>
        <w:bottom w:val="none" w:sz="0" w:space="0" w:color="auto"/>
        <w:right w:val="none" w:sz="0" w:space="0" w:color="auto"/>
      </w:divBdr>
    </w:div>
    <w:div w:id="964433960">
      <w:bodyDiv w:val="1"/>
      <w:marLeft w:val="0"/>
      <w:marRight w:val="0"/>
      <w:marTop w:val="0"/>
      <w:marBottom w:val="0"/>
      <w:divBdr>
        <w:top w:val="none" w:sz="0" w:space="0" w:color="auto"/>
        <w:left w:val="none" w:sz="0" w:space="0" w:color="auto"/>
        <w:bottom w:val="none" w:sz="0" w:space="0" w:color="auto"/>
        <w:right w:val="none" w:sz="0" w:space="0" w:color="auto"/>
      </w:divBdr>
    </w:div>
    <w:div w:id="1274363353">
      <w:bodyDiv w:val="1"/>
      <w:marLeft w:val="0"/>
      <w:marRight w:val="0"/>
      <w:marTop w:val="0"/>
      <w:marBottom w:val="0"/>
      <w:divBdr>
        <w:top w:val="none" w:sz="0" w:space="0" w:color="auto"/>
        <w:left w:val="none" w:sz="0" w:space="0" w:color="auto"/>
        <w:bottom w:val="none" w:sz="0" w:space="0" w:color="auto"/>
        <w:right w:val="none" w:sz="0" w:space="0" w:color="auto"/>
      </w:divBdr>
    </w:div>
    <w:div w:id="1278638637">
      <w:bodyDiv w:val="1"/>
      <w:marLeft w:val="0"/>
      <w:marRight w:val="0"/>
      <w:marTop w:val="0"/>
      <w:marBottom w:val="0"/>
      <w:divBdr>
        <w:top w:val="none" w:sz="0" w:space="0" w:color="auto"/>
        <w:left w:val="none" w:sz="0" w:space="0" w:color="auto"/>
        <w:bottom w:val="none" w:sz="0" w:space="0" w:color="auto"/>
        <w:right w:val="none" w:sz="0" w:space="0" w:color="auto"/>
      </w:divBdr>
    </w:div>
    <w:div w:id="1973365776">
      <w:bodyDiv w:val="1"/>
      <w:marLeft w:val="0"/>
      <w:marRight w:val="0"/>
      <w:marTop w:val="0"/>
      <w:marBottom w:val="0"/>
      <w:divBdr>
        <w:top w:val="none" w:sz="0" w:space="0" w:color="auto"/>
        <w:left w:val="none" w:sz="0" w:space="0" w:color="auto"/>
        <w:bottom w:val="none" w:sz="0" w:space="0" w:color="auto"/>
        <w:right w:val="none" w:sz="0" w:space="0" w:color="auto"/>
      </w:divBdr>
    </w:div>
    <w:div w:id="2020229826">
      <w:bodyDiv w:val="1"/>
      <w:marLeft w:val="0"/>
      <w:marRight w:val="0"/>
      <w:marTop w:val="0"/>
      <w:marBottom w:val="0"/>
      <w:divBdr>
        <w:top w:val="none" w:sz="0" w:space="0" w:color="auto"/>
        <w:left w:val="none" w:sz="0" w:space="0" w:color="auto"/>
        <w:bottom w:val="none" w:sz="0" w:space="0" w:color="auto"/>
        <w:right w:val="none" w:sz="0" w:space="0" w:color="auto"/>
      </w:divBdr>
    </w:div>
    <w:div w:id="2091466144">
      <w:bodyDiv w:val="1"/>
      <w:marLeft w:val="0"/>
      <w:marRight w:val="0"/>
      <w:marTop w:val="0"/>
      <w:marBottom w:val="0"/>
      <w:divBdr>
        <w:top w:val="none" w:sz="0" w:space="0" w:color="auto"/>
        <w:left w:val="none" w:sz="0" w:space="0" w:color="auto"/>
        <w:bottom w:val="none" w:sz="0" w:space="0" w:color="auto"/>
        <w:right w:val="none" w:sz="0" w:space="0" w:color="auto"/>
      </w:divBdr>
    </w:div>
    <w:div w:id="212272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Mon14</b:Tag>
    <b:SourceType>DocumentFromInternetSite</b:SourceType>
    <b:Guid>{F84E3742-010D-44E9-8E43-DDED56140C23}</b:Guid>
    <b:Author>
      <b:Author>
        <b:NameList>
          <b:Person>
            <b:Last>Monte Nesbitt</b:Last>
            <b:First>Research</b:First>
            <b:Middle>Horticulturist</b:Middle>
          </b:Person>
        </b:NameList>
      </b:Author>
    </b:Author>
    <b:Title>Estimation of Pecan Tree Value</b:Title>
    <b:InternetSiteTitle>Texas A&amp;M</b:InternetSiteTitle>
    <b:Year>2014</b:Year>
    <b:Month>November</b:Month>
    <b:URL>http://counties.agrilife.org/valverde/files/2014/11/Estimation-of-Pecan-Tree-Value.pdf</b:URL>
    <b:RefOrder>1</b:RefOrder>
  </b:Source>
  <b:Source>
    <b:Tag>Ala19</b:Tag>
    <b:SourceType>DocumentFromInternetSite</b:SourceType>
    <b:Guid>{86EEEB21-7C50-4527-A7FA-182E98C324DE}</b:Guid>
    <b:Author>
      <b:Author>
        <b:NameList>
          <b:Person>
            <b:Last>Hazell</b:Last>
            <b:First>Alastair</b:First>
          </b:Person>
        </b:NameList>
      </b:Author>
    </b:Author>
    <b:Title>How Big Is An Acre? Explained</b:Title>
    <b:InternetSiteTitle>the Calculator site</b:InternetSiteTitle>
    <b:Year>2019</b:Year>
    <b:Month>July</b:Month>
    <b:Day>20</b:Day>
    <b:URL>https://www.thecalculatorsite.com/articles/units/how-big-is-an-acre.php</b:URL>
    <b:RefOrder>2</b:RefOrder>
  </b:Source>
  <b:Source>
    <b:Tag>YCh19</b:Tag>
    <b:SourceType>DocumentFromInternetSite</b:SourceType>
    <b:Guid>{FB8D9B34-F5F0-46CC-B483-291BB9B00373}</b:Guid>
    <b:Author>
      <b:Author>
        <b:Corporate>YCharts</b:Corporate>
      </b:Author>
    </b:Author>
    <b:Title>US Pecans Price</b:Title>
    <b:InternetSiteTitle>YCharts</b:InternetSiteTitle>
    <b:Year>2019</b:Year>
    <b:URL>https://ycharts.com/indicators/us_pecans_price_received</b:URL>
    <b:RefOrder>3</b:RefOrder>
  </b:Source>
</b:Sources>
</file>

<file path=customXml/itemProps1.xml><?xml version="1.0" encoding="utf-8"?>
<ds:datastoreItem xmlns:ds="http://schemas.openxmlformats.org/officeDocument/2006/customXml" ds:itemID="{ECDE76C2-F0BA-4137-958D-BCC3A32BD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Kremer</dc:creator>
  <cp:keywords/>
  <dc:description/>
  <cp:lastModifiedBy>Jeff Kremer</cp:lastModifiedBy>
  <cp:revision>26</cp:revision>
  <dcterms:created xsi:type="dcterms:W3CDTF">2019-10-14T11:55:00Z</dcterms:created>
  <dcterms:modified xsi:type="dcterms:W3CDTF">2019-10-14T19:49:00Z</dcterms:modified>
</cp:coreProperties>
</file>